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DA" w:rsidRDefault="00B178DA" w:rsidP="00B178DA">
      <w:pPr>
        <w:jc w:val="both"/>
        <w:rPr>
          <w:b/>
        </w:rPr>
      </w:pPr>
      <w:r>
        <w:rPr>
          <w:b/>
        </w:rPr>
        <w:t xml:space="preserve">BIJLAGE </w:t>
      </w:r>
      <w:r w:rsidR="00A93852">
        <w:rPr>
          <w:b/>
        </w:rPr>
        <w:t xml:space="preserve">BP </w:t>
      </w:r>
      <w:bookmarkStart w:id="0" w:name="_GoBack"/>
      <w:bookmarkEnd w:id="0"/>
      <w:r>
        <w:rPr>
          <w:b/>
        </w:rPr>
        <w:t>HISTORIEK TOT 2005</w:t>
      </w:r>
    </w:p>
    <w:p w:rsidR="00B178DA" w:rsidRDefault="00B178DA" w:rsidP="00B178DA">
      <w:pPr>
        <w:jc w:val="both"/>
      </w:pPr>
      <w:r>
        <w:t xml:space="preserve"> </w:t>
      </w:r>
    </w:p>
    <w:sdt>
      <w:sdtPr>
        <w:rPr>
          <w:rFonts w:ascii="Arial" w:eastAsia="Arial" w:hAnsi="Arial" w:cs="Arial"/>
          <w:color w:val="auto"/>
          <w:sz w:val="22"/>
          <w:szCs w:val="22"/>
          <w:lang w:val="nl"/>
        </w:rPr>
        <w:id w:val="-1296982890"/>
        <w:docPartObj>
          <w:docPartGallery w:val="Table of Contents"/>
          <w:docPartUnique/>
        </w:docPartObj>
      </w:sdtPr>
      <w:sdtEndPr>
        <w:rPr>
          <w:b/>
          <w:bCs/>
        </w:rPr>
      </w:sdtEndPr>
      <w:sdtContent>
        <w:p w:rsidR="00A36DD6" w:rsidRDefault="00A36DD6">
          <w:pPr>
            <w:pStyle w:val="Kopvaninhoudsopgave"/>
          </w:pPr>
          <w:r>
            <w:t>Inhoud</w:t>
          </w:r>
        </w:p>
        <w:p w:rsidR="00EE7139" w:rsidRDefault="00A36DD6">
          <w:pPr>
            <w:pStyle w:val="Inhopg1"/>
            <w:tabs>
              <w:tab w:val="left" w:pos="440"/>
              <w:tab w:val="right" w:leader="dot" w:pos="9062"/>
            </w:tabs>
            <w:rPr>
              <w:rFonts w:asciiTheme="minorHAnsi" w:eastAsiaTheme="minorEastAsia" w:hAnsiTheme="minorHAnsi" w:cstheme="minorBidi"/>
              <w:noProof/>
              <w:lang w:val="nl-NL"/>
            </w:rPr>
          </w:pPr>
          <w:r>
            <w:fldChar w:fldCharType="begin"/>
          </w:r>
          <w:r>
            <w:instrText xml:space="preserve"> TOC \o "1-3" \h \z \u </w:instrText>
          </w:r>
          <w:r>
            <w:fldChar w:fldCharType="separate"/>
          </w:r>
          <w:hyperlink w:anchor="_Toc27671640" w:history="1">
            <w:r w:rsidR="00EE7139" w:rsidRPr="00D6636D">
              <w:rPr>
                <w:rStyle w:val="Hyperlink"/>
                <w:noProof/>
              </w:rPr>
              <w:t>1.</w:t>
            </w:r>
            <w:r w:rsidR="00EE7139">
              <w:rPr>
                <w:rFonts w:asciiTheme="minorHAnsi" w:eastAsiaTheme="minorEastAsia" w:hAnsiTheme="minorHAnsi" w:cstheme="minorBidi"/>
                <w:noProof/>
                <w:lang w:val="nl-NL"/>
              </w:rPr>
              <w:tab/>
            </w:r>
            <w:r w:rsidR="00EE7139" w:rsidRPr="00D6636D">
              <w:rPr>
                <w:rStyle w:val="Hyperlink"/>
                <w:noProof/>
              </w:rPr>
              <w:t>PLOB Pluralistische Organizatie voor Bibliotheekgebruikgenoot – 1984 -1997</w:t>
            </w:r>
            <w:r w:rsidR="00EE7139">
              <w:rPr>
                <w:noProof/>
                <w:webHidden/>
              </w:rPr>
              <w:tab/>
            </w:r>
            <w:r w:rsidR="00EE7139">
              <w:rPr>
                <w:noProof/>
                <w:webHidden/>
              </w:rPr>
              <w:fldChar w:fldCharType="begin"/>
            </w:r>
            <w:r w:rsidR="00EE7139">
              <w:rPr>
                <w:noProof/>
                <w:webHidden/>
              </w:rPr>
              <w:instrText xml:space="preserve"> PAGEREF _Toc27671640 \h </w:instrText>
            </w:r>
            <w:r w:rsidR="00EE7139">
              <w:rPr>
                <w:noProof/>
                <w:webHidden/>
              </w:rPr>
            </w:r>
            <w:r w:rsidR="00EE7139">
              <w:rPr>
                <w:noProof/>
                <w:webHidden/>
              </w:rPr>
              <w:fldChar w:fldCharType="separate"/>
            </w:r>
            <w:r w:rsidR="00EE7139">
              <w:rPr>
                <w:noProof/>
                <w:webHidden/>
              </w:rPr>
              <w:t>1</w:t>
            </w:r>
            <w:r w:rsidR="00EE7139">
              <w:rPr>
                <w:noProof/>
                <w:webHidden/>
              </w:rPr>
              <w:fldChar w:fldCharType="end"/>
            </w:r>
          </w:hyperlink>
        </w:p>
        <w:p w:rsidR="00EE7139" w:rsidRDefault="00A93852">
          <w:pPr>
            <w:pStyle w:val="Inhopg1"/>
            <w:tabs>
              <w:tab w:val="left" w:pos="440"/>
              <w:tab w:val="right" w:leader="dot" w:pos="9062"/>
            </w:tabs>
            <w:rPr>
              <w:rFonts w:asciiTheme="minorHAnsi" w:eastAsiaTheme="minorEastAsia" w:hAnsiTheme="minorHAnsi" w:cstheme="minorBidi"/>
              <w:noProof/>
              <w:lang w:val="nl-NL"/>
            </w:rPr>
          </w:pPr>
          <w:hyperlink w:anchor="_Toc27671641" w:history="1">
            <w:r w:rsidR="00EE7139" w:rsidRPr="00D6636D">
              <w:rPr>
                <w:rStyle w:val="Hyperlink"/>
                <w:noProof/>
              </w:rPr>
              <w:t>2.</w:t>
            </w:r>
            <w:r w:rsidR="00EE7139">
              <w:rPr>
                <w:rFonts w:asciiTheme="minorHAnsi" w:eastAsiaTheme="minorEastAsia" w:hAnsiTheme="minorHAnsi" w:cstheme="minorBidi"/>
                <w:noProof/>
                <w:lang w:val="nl-NL"/>
              </w:rPr>
              <w:tab/>
            </w:r>
            <w:r w:rsidR="00EE7139" w:rsidRPr="00D6636D">
              <w:rPr>
                <w:rStyle w:val="Hyperlink"/>
                <w:noProof/>
              </w:rPr>
              <w:t>1995  Een nieuwe naam, een nieuw statuut: Centrum voor Lezen en Informatie (LINC)</w:t>
            </w:r>
            <w:r w:rsidR="00EE7139">
              <w:rPr>
                <w:noProof/>
                <w:webHidden/>
              </w:rPr>
              <w:tab/>
            </w:r>
            <w:r w:rsidR="00EE7139">
              <w:rPr>
                <w:noProof/>
                <w:webHidden/>
              </w:rPr>
              <w:fldChar w:fldCharType="begin"/>
            </w:r>
            <w:r w:rsidR="00EE7139">
              <w:rPr>
                <w:noProof/>
                <w:webHidden/>
              </w:rPr>
              <w:instrText xml:space="preserve"> PAGEREF _Toc27671641 \h </w:instrText>
            </w:r>
            <w:r w:rsidR="00EE7139">
              <w:rPr>
                <w:noProof/>
                <w:webHidden/>
              </w:rPr>
            </w:r>
            <w:r w:rsidR="00EE7139">
              <w:rPr>
                <w:noProof/>
                <w:webHidden/>
              </w:rPr>
              <w:fldChar w:fldCharType="separate"/>
            </w:r>
            <w:r w:rsidR="00EE7139">
              <w:rPr>
                <w:noProof/>
                <w:webHidden/>
              </w:rPr>
              <w:t>2</w:t>
            </w:r>
            <w:r w:rsidR="00EE7139">
              <w:rPr>
                <w:noProof/>
                <w:webHidden/>
              </w:rPr>
              <w:fldChar w:fldCharType="end"/>
            </w:r>
          </w:hyperlink>
        </w:p>
        <w:p w:rsidR="00EE7139" w:rsidRDefault="00A93852">
          <w:pPr>
            <w:pStyle w:val="Inhopg1"/>
            <w:tabs>
              <w:tab w:val="left" w:pos="440"/>
              <w:tab w:val="right" w:leader="dot" w:pos="9062"/>
            </w:tabs>
            <w:rPr>
              <w:rFonts w:asciiTheme="minorHAnsi" w:eastAsiaTheme="minorEastAsia" w:hAnsiTheme="minorHAnsi" w:cstheme="minorBidi"/>
              <w:noProof/>
              <w:lang w:val="nl-NL"/>
            </w:rPr>
          </w:pPr>
          <w:hyperlink w:anchor="_Toc27671642" w:history="1">
            <w:r w:rsidR="00EE7139" w:rsidRPr="00D6636D">
              <w:rPr>
                <w:rStyle w:val="Hyperlink"/>
                <w:noProof/>
              </w:rPr>
              <w:t>3.</w:t>
            </w:r>
            <w:r w:rsidR="00EE7139">
              <w:rPr>
                <w:rFonts w:asciiTheme="minorHAnsi" w:eastAsiaTheme="minorEastAsia" w:hAnsiTheme="minorHAnsi" w:cstheme="minorBidi"/>
                <w:noProof/>
                <w:lang w:val="nl-NL"/>
              </w:rPr>
              <w:tab/>
            </w:r>
            <w:r w:rsidR="00EE7139" w:rsidRPr="00D6636D">
              <w:rPr>
                <w:rStyle w:val="Hyperlink"/>
                <w:noProof/>
              </w:rPr>
              <w:t>VANAF 2005: LINC ALS SOCIAAL-CULTURELE BEWEGING</w:t>
            </w:r>
            <w:r w:rsidR="00EE7139">
              <w:rPr>
                <w:noProof/>
                <w:webHidden/>
              </w:rPr>
              <w:tab/>
            </w:r>
            <w:r w:rsidR="00EE7139">
              <w:rPr>
                <w:noProof/>
                <w:webHidden/>
              </w:rPr>
              <w:fldChar w:fldCharType="begin"/>
            </w:r>
            <w:r w:rsidR="00EE7139">
              <w:rPr>
                <w:noProof/>
                <w:webHidden/>
              </w:rPr>
              <w:instrText xml:space="preserve"> PAGEREF _Toc27671642 \h </w:instrText>
            </w:r>
            <w:r w:rsidR="00EE7139">
              <w:rPr>
                <w:noProof/>
                <w:webHidden/>
              </w:rPr>
            </w:r>
            <w:r w:rsidR="00EE7139">
              <w:rPr>
                <w:noProof/>
                <w:webHidden/>
              </w:rPr>
              <w:fldChar w:fldCharType="separate"/>
            </w:r>
            <w:r w:rsidR="00EE7139">
              <w:rPr>
                <w:noProof/>
                <w:webHidden/>
              </w:rPr>
              <w:t>3</w:t>
            </w:r>
            <w:r w:rsidR="00EE7139">
              <w:rPr>
                <w:noProof/>
                <w:webHidden/>
              </w:rPr>
              <w:fldChar w:fldCharType="end"/>
            </w:r>
          </w:hyperlink>
        </w:p>
        <w:p w:rsidR="00EE7139" w:rsidRDefault="00A93852">
          <w:pPr>
            <w:pStyle w:val="Inhopg1"/>
            <w:tabs>
              <w:tab w:val="left" w:pos="440"/>
              <w:tab w:val="right" w:leader="dot" w:pos="9062"/>
            </w:tabs>
            <w:rPr>
              <w:rFonts w:asciiTheme="minorHAnsi" w:eastAsiaTheme="minorEastAsia" w:hAnsiTheme="minorHAnsi" w:cstheme="minorBidi"/>
              <w:noProof/>
              <w:lang w:val="nl-NL"/>
            </w:rPr>
          </w:pPr>
          <w:hyperlink w:anchor="_Toc27671643" w:history="1">
            <w:r w:rsidR="00EE7139" w:rsidRPr="00D6636D">
              <w:rPr>
                <w:rStyle w:val="Hyperlink"/>
                <w:noProof/>
              </w:rPr>
              <w:t>4.</w:t>
            </w:r>
            <w:r w:rsidR="00EE7139">
              <w:rPr>
                <w:rFonts w:asciiTheme="minorHAnsi" w:eastAsiaTheme="minorEastAsia" w:hAnsiTheme="minorHAnsi" w:cstheme="minorBidi"/>
                <w:noProof/>
                <w:lang w:val="nl-NL"/>
              </w:rPr>
              <w:tab/>
            </w:r>
            <w:r w:rsidR="00EE7139" w:rsidRPr="00D6636D">
              <w:rPr>
                <w:rStyle w:val="Hyperlink"/>
                <w:noProof/>
              </w:rPr>
              <w:t>EDUCATIE en SOCIALE ACTIE</w:t>
            </w:r>
            <w:r w:rsidR="00EE7139">
              <w:rPr>
                <w:noProof/>
                <w:webHidden/>
              </w:rPr>
              <w:tab/>
            </w:r>
            <w:r w:rsidR="00EE7139">
              <w:rPr>
                <w:noProof/>
                <w:webHidden/>
              </w:rPr>
              <w:fldChar w:fldCharType="begin"/>
            </w:r>
            <w:r w:rsidR="00EE7139">
              <w:rPr>
                <w:noProof/>
                <w:webHidden/>
              </w:rPr>
              <w:instrText xml:space="preserve"> PAGEREF _Toc27671643 \h </w:instrText>
            </w:r>
            <w:r w:rsidR="00EE7139">
              <w:rPr>
                <w:noProof/>
                <w:webHidden/>
              </w:rPr>
            </w:r>
            <w:r w:rsidR="00EE7139">
              <w:rPr>
                <w:noProof/>
                <w:webHidden/>
              </w:rPr>
              <w:fldChar w:fldCharType="separate"/>
            </w:r>
            <w:r w:rsidR="00EE7139">
              <w:rPr>
                <w:noProof/>
                <w:webHidden/>
              </w:rPr>
              <w:t>5</w:t>
            </w:r>
            <w:r w:rsidR="00EE7139">
              <w:rPr>
                <w:noProof/>
                <w:webHidden/>
              </w:rPr>
              <w:fldChar w:fldCharType="end"/>
            </w:r>
          </w:hyperlink>
        </w:p>
        <w:p w:rsidR="00EE7139" w:rsidRDefault="00A93852">
          <w:pPr>
            <w:pStyle w:val="Inhopg1"/>
            <w:tabs>
              <w:tab w:val="left" w:pos="440"/>
              <w:tab w:val="right" w:leader="dot" w:pos="9062"/>
            </w:tabs>
            <w:rPr>
              <w:rFonts w:asciiTheme="minorHAnsi" w:eastAsiaTheme="minorEastAsia" w:hAnsiTheme="minorHAnsi" w:cstheme="minorBidi"/>
              <w:noProof/>
              <w:lang w:val="nl-NL"/>
            </w:rPr>
          </w:pPr>
          <w:hyperlink w:anchor="_Toc27671644" w:history="1">
            <w:r w:rsidR="00EE7139" w:rsidRPr="00D6636D">
              <w:rPr>
                <w:rStyle w:val="Hyperlink"/>
                <w:noProof/>
              </w:rPr>
              <w:t>5.</w:t>
            </w:r>
            <w:r w:rsidR="00EE7139">
              <w:rPr>
                <w:rFonts w:asciiTheme="minorHAnsi" w:eastAsiaTheme="minorEastAsia" w:hAnsiTheme="minorHAnsi" w:cstheme="minorBidi"/>
                <w:noProof/>
                <w:lang w:val="nl-NL"/>
              </w:rPr>
              <w:tab/>
            </w:r>
            <w:r w:rsidR="00EE7139" w:rsidRPr="00D6636D">
              <w:rPr>
                <w:rStyle w:val="Hyperlink"/>
                <w:noProof/>
              </w:rPr>
              <w:t>CAMPAGNES</w:t>
            </w:r>
            <w:r w:rsidR="00EE7139">
              <w:rPr>
                <w:noProof/>
                <w:webHidden/>
              </w:rPr>
              <w:tab/>
            </w:r>
            <w:r w:rsidR="00EE7139">
              <w:rPr>
                <w:noProof/>
                <w:webHidden/>
              </w:rPr>
              <w:fldChar w:fldCharType="begin"/>
            </w:r>
            <w:r w:rsidR="00EE7139">
              <w:rPr>
                <w:noProof/>
                <w:webHidden/>
              </w:rPr>
              <w:instrText xml:space="preserve"> PAGEREF _Toc27671644 \h </w:instrText>
            </w:r>
            <w:r w:rsidR="00EE7139">
              <w:rPr>
                <w:noProof/>
                <w:webHidden/>
              </w:rPr>
            </w:r>
            <w:r w:rsidR="00EE7139">
              <w:rPr>
                <w:noProof/>
                <w:webHidden/>
              </w:rPr>
              <w:fldChar w:fldCharType="separate"/>
            </w:r>
            <w:r w:rsidR="00EE7139">
              <w:rPr>
                <w:noProof/>
                <w:webHidden/>
              </w:rPr>
              <w:t>7</w:t>
            </w:r>
            <w:r w:rsidR="00EE7139">
              <w:rPr>
                <w:noProof/>
                <w:webHidden/>
              </w:rPr>
              <w:fldChar w:fldCharType="end"/>
            </w:r>
          </w:hyperlink>
        </w:p>
        <w:p w:rsidR="00EE7139" w:rsidRDefault="00A93852">
          <w:pPr>
            <w:pStyle w:val="Inhopg1"/>
            <w:tabs>
              <w:tab w:val="left" w:pos="440"/>
              <w:tab w:val="right" w:leader="dot" w:pos="9062"/>
            </w:tabs>
            <w:rPr>
              <w:rFonts w:asciiTheme="minorHAnsi" w:eastAsiaTheme="minorEastAsia" w:hAnsiTheme="minorHAnsi" w:cstheme="minorBidi"/>
              <w:noProof/>
              <w:lang w:val="nl-NL"/>
            </w:rPr>
          </w:pPr>
          <w:hyperlink w:anchor="_Toc27671645" w:history="1">
            <w:r w:rsidR="00EE7139" w:rsidRPr="00D6636D">
              <w:rPr>
                <w:rStyle w:val="Hyperlink"/>
                <w:noProof/>
              </w:rPr>
              <w:t>6.</w:t>
            </w:r>
            <w:r w:rsidR="00EE7139">
              <w:rPr>
                <w:rFonts w:asciiTheme="minorHAnsi" w:eastAsiaTheme="minorEastAsia" w:hAnsiTheme="minorHAnsi" w:cstheme="minorBidi"/>
                <w:noProof/>
                <w:lang w:val="nl-NL"/>
              </w:rPr>
              <w:tab/>
            </w:r>
            <w:r w:rsidR="00EE7139" w:rsidRPr="00D6636D">
              <w:rPr>
                <w:rStyle w:val="Hyperlink"/>
                <w:noProof/>
              </w:rPr>
              <w:t>INFORMATIE-AANBOD</w:t>
            </w:r>
            <w:r w:rsidR="00EE7139">
              <w:rPr>
                <w:noProof/>
                <w:webHidden/>
              </w:rPr>
              <w:tab/>
            </w:r>
            <w:r w:rsidR="00EE7139">
              <w:rPr>
                <w:noProof/>
                <w:webHidden/>
              </w:rPr>
              <w:fldChar w:fldCharType="begin"/>
            </w:r>
            <w:r w:rsidR="00EE7139">
              <w:rPr>
                <w:noProof/>
                <w:webHidden/>
              </w:rPr>
              <w:instrText xml:space="preserve"> PAGEREF _Toc27671645 \h </w:instrText>
            </w:r>
            <w:r w:rsidR="00EE7139">
              <w:rPr>
                <w:noProof/>
                <w:webHidden/>
              </w:rPr>
            </w:r>
            <w:r w:rsidR="00EE7139">
              <w:rPr>
                <w:noProof/>
                <w:webHidden/>
              </w:rPr>
              <w:fldChar w:fldCharType="separate"/>
            </w:r>
            <w:r w:rsidR="00EE7139">
              <w:rPr>
                <w:noProof/>
                <w:webHidden/>
              </w:rPr>
              <w:t>8</w:t>
            </w:r>
            <w:r w:rsidR="00EE7139">
              <w:rPr>
                <w:noProof/>
                <w:webHidden/>
              </w:rPr>
              <w:fldChar w:fldCharType="end"/>
            </w:r>
          </w:hyperlink>
        </w:p>
        <w:p w:rsidR="00EE7139" w:rsidRDefault="00A93852">
          <w:pPr>
            <w:pStyle w:val="Inhopg1"/>
            <w:tabs>
              <w:tab w:val="left" w:pos="440"/>
              <w:tab w:val="right" w:leader="dot" w:pos="9062"/>
            </w:tabs>
            <w:rPr>
              <w:rFonts w:asciiTheme="minorHAnsi" w:eastAsiaTheme="minorEastAsia" w:hAnsiTheme="minorHAnsi" w:cstheme="minorBidi"/>
              <w:noProof/>
              <w:lang w:val="nl-NL"/>
            </w:rPr>
          </w:pPr>
          <w:hyperlink w:anchor="_Toc27671646" w:history="1">
            <w:r w:rsidR="00EE7139" w:rsidRPr="00D6636D">
              <w:rPr>
                <w:rStyle w:val="Hyperlink"/>
                <w:noProof/>
              </w:rPr>
              <w:t>7.</w:t>
            </w:r>
            <w:r w:rsidR="00EE7139">
              <w:rPr>
                <w:rFonts w:asciiTheme="minorHAnsi" w:eastAsiaTheme="minorEastAsia" w:hAnsiTheme="minorHAnsi" w:cstheme="minorBidi"/>
                <w:noProof/>
                <w:lang w:val="nl-NL"/>
              </w:rPr>
              <w:tab/>
            </w:r>
            <w:r w:rsidR="00EE7139" w:rsidRPr="00D6636D">
              <w:rPr>
                <w:rStyle w:val="Hyperlink"/>
                <w:noProof/>
              </w:rPr>
              <w:t>SAMENWERKINGSVERBANDEN</w:t>
            </w:r>
            <w:r w:rsidR="00EE7139">
              <w:rPr>
                <w:noProof/>
                <w:webHidden/>
              </w:rPr>
              <w:tab/>
            </w:r>
            <w:r w:rsidR="00EE7139">
              <w:rPr>
                <w:noProof/>
                <w:webHidden/>
              </w:rPr>
              <w:fldChar w:fldCharType="begin"/>
            </w:r>
            <w:r w:rsidR="00EE7139">
              <w:rPr>
                <w:noProof/>
                <w:webHidden/>
              </w:rPr>
              <w:instrText xml:space="preserve"> PAGEREF _Toc27671646 \h </w:instrText>
            </w:r>
            <w:r w:rsidR="00EE7139">
              <w:rPr>
                <w:noProof/>
                <w:webHidden/>
              </w:rPr>
            </w:r>
            <w:r w:rsidR="00EE7139">
              <w:rPr>
                <w:noProof/>
                <w:webHidden/>
              </w:rPr>
              <w:fldChar w:fldCharType="separate"/>
            </w:r>
            <w:r w:rsidR="00EE7139">
              <w:rPr>
                <w:noProof/>
                <w:webHidden/>
              </w:rPr>
              <w:t>9</w:t>
            </w:r>
            <w:r w:rsidR="00EE7139">
              <w:rPr>
                <w:noProof/>
                <w:webHidden/>
              </w:rPr>
              <w:fldChar w:fldCharType="end"/>
            </w:r>
          </w:hyperlink>
        </w:p>
        <w:p w:rsidR="00A36DD6" w:rsidRDefault="00A36DD6">
          <w:r>
            <w:rPr>
              <w:b/>
              <w:bCs/>
            </w:rPr>
            <w:fldChar w:fldCharType="end"/>
          </w:r>
        </w:p>
      </w:sdtContent>
    </w:sdt>
    <w:p w:rsidR="00A36DD6" w:rsidRDefault="00A36DD6" w:rsidP="00B178DA">
      <w:pPr>
        <w:jc w:val="both"/>
      </w:pPr>
    </w:p>
    <w:p w:rsidR="00A36DD6" w:rsidRDefault="00A36DD6" w:rsidP="00B178DA">
      <w:pPr>
        <w:jc w:val="both"/>
      </w:pPr>
    </w:p>
    <w:p w:rsidR="00B178DA" w:rsidRDefault="00B178DA" w:rsidP="00B178DA">
      <w:pPr>
        <w:jc w:val="both"/>
      </w:pPr>
      <w:r>
        <w:t>Deze tijdslijn geeft beknopt de geschiedenis van onze organisatie weer voordat LINC een beweging werd.</w:t>
      </w:r>
    </w:p>
    <w:p w:rsidR="00B178DA" w:rsidRDefault="00B178DA" w:rsidP="00B178DA">
      <w:pPr>
        <w:jc w:val="both"/>
      </w:pPr>
      <w:r>
        <w:t xml:space="preserve"> </w:t>
      </w:r>
    </w:p>
    <w:p w:rsidR="00B178DA" w:rsidRDefault="00B178DA" w:rsidP="00A36DD6">
      <w:pPr>
        <w:pStyle w:val="Kop1"/>
      </w:pPr>
      <w:bookmarkStart w:id="1" w:name="_Toc27671640"/>
      <w:r>
        <w:t xml:space="preserve">PLOB </w:t>
      </w:r>
      <w:r w:rsidR="00EE7139" w:rsidRPr="00A66374">
        <w:t>Pluralistische Organizatie voor Bibliotheekgebruik</w:t>
      </w:r>
      <w:r w:rsidR="00EE7139">
        <w:t xml:space="preserve">genoot </w:t>
      </w:r>
      <w:r>
        <w:t>– 1984 -1997</w:t>
      </w:r>
      <w:bookmarkEnd w:id="1"/>
    </w:p>
    <w:p w:rsidR="00B178DA" w:rsidRDefault="00B178DA" w:rsidP="00B178DA">
      <w:pPr>
        <w:jc w:val="both"/>
      </w:pPr>
      <w:r>
        <w:t xml:space="preserve"> </w:t>
      </w:r>
    </w:p>
    <w:p w:rsidR="00B178DA" w:rsidRDefault="00B178DA" w:rsidP="00B178DA">
      <w:pPr>
        <w:jc w:val="both"/>
      </w:pPr>
      <w:r>
        <w:t>PLOB (</w:t>
      </w:r>
      <w:r w:rsidRPr="00A66374">
        <w:t>Pluralistische Organizatie voor Bibliotheekgebruik</w:t>
      </w:r>
      <w:r>
        <w:t>genoot)  een erkenning als ‘</w:t>
      </w:r>
      <w:r>
        <w:rPr>
          <w:b/>
        </w:rPr>
        <w:t>lectuurbegeleidingsorganisatie</w:t>
      </w:r>
      <w:r>
        <w:t xml:space="preserve">’ van 1984 tot 1997 onder het toenmalige Decreet betreffende het Nederlandstalige openbare bibliotheekwerk (1978). Het definieerde de bibliotheek als een organisatie </w:t>
      </w:r>
      <w:r>
        <w:rPr>
          <w:i/>
        </w:rPr>
        <w:t>”die voor eenieder openstaat en waarvan de collecties boeken, audiovisuele materialen en uitbreidingsactiviteiten in een geest van objectiviteit aangepast zijn aan al de behoeften aan ontwikkeling, opvoeding, informatie en ontspanning van de gehele door haar te bedienen bevolking”</w:t>
      </w:r>
      <w:r>
        <w:t>. Lectuurbegeleidingsorganisaties zoals PLOB moesten de bibliotheek in haar informatieve en educatieve taken ondersteunen.</w:t>
      </w:r>
    </w:p>
    <w:p w:rsidR="00B178DA" w:rsidRDefault="00B178DA" w:rsidP="00B178DA">
      <w:pPr>
        <w:jc w:val="both"/>
      </w:pPr>
      <w:r>
        <w:t xml:space="preserve"> </w:t>
      </w:r>
    </w:p>
    <w:p w:rsidR="00B178DA" w:rsidRDefault="00B178DA" w:rsidP="00B178DA">
      <w:pPr>
        <w:jc w:val="both"/>
      </w:pPr>
      <w:r>
        <w:t xml:space="preserve">Sinds de start was de verkenning van de </w:t>
      </w:r>
      <w:r>
        <w:rPr>
          <w:b/>
        </w:rPr>
        <w:t>relatie tussen bibliotheek en educatief werk</w:t>
      </w:r>
      <w:r>
        <w:t xml:space="preserve"> de hoofdbekommernis. Er werd flink geïnvesteerd in het op gang brengen en ondersteunen van de communicatie en de samenwerking tussen de bibliotheeksector en organisaties werkzaam in de volwasseneneducatie en het onderwijs. Ter ondersteuning kwam PLOB tot de uitgave van </w:t>
      </w:r>
      <w:r>
        <w:rPr>
          <w:b/>
        </w:rPr>
        <w:t>brochures ondersteund door studiedagen en/of vormingsprogramma’s</w:t>
      </w:r>
      <w:r>
        <w:t xml:space="preserve"> rond thema’s als:</w:t>
      </w:r>
    </w:p>
    <w:p w:rsidR="00B178DA" w:rsidRDefault="00B178DA" w:rsidP="00B178DA">
      <w:pPr>
        <w:ind w:left="76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het opbouwen van een structureel samenwerkingsverband tussen bibliotheek en educatief werk</w:t>
      </w:r>
    </w:p>
    <w:p w:rsidR="00B178DA" w:rsidRDefault="00B178DA" w:rsidP="00B178DA">
      <w:pPr>
        <w:ind w:left="76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de relatie tussen bibliotheek en moeilijk bereikbare </w:t>
      </w:r>
      <w:r>
        <w:rPr>
          <w:b/>
        </w:rPr>
        <w:t>doelgroepen</w:t>
      </w:r>
      <w:r>
        <w:t xml:space="preserve"> (jongeren, allochtonen, moeilijk lezenden, mensen met een mentale handicap,…)</w:t>
      </w:r>
    </w:p>
    <w:p w:rsidR="00B178DA" w:rsidRDefault="00B178DA" w:rsidP="00B178DA">
      <w:pPr>
        <w:jc w:val="both"/>
      </w:pPr>
      <w:r>
        <w:t xml:space="preserve"> </w:t>
      </w:r>
    </w:p>
    <w:p w:rsidR="00B178DA" w:rsidRDefault="00B178DA" w:rsidP="00B178DA">
      <w:pPr>
        <w:jc w:val="both"/>
      </w:pPr>
      <w:r>
        <w:t xml:space="preserve">Daarnaast waren er acties die focusten op een specifiek aspect van de dienstverlening van bibliotheken naar de beoogde </w:t>
      </w:r>
      <w:r>
        <w:rPr>
          <w:b/>
        </w:rPr>
        <w:t>doelgroepen</w:t>
      </w:r>
      <w:r>
        <w:t xml:space="preserve"> toe:</w:t>
      </w:r>
    </w:p>
    <w:p w:rsidR="00B178DA" w:rsidRDefault="00B178DA" w:rsidP="00B178DA">
      <w:pPr>
        <w:ind w:left="760" w:hanging="360"/>
        <w:jc w:val="both"/>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het verzorgen van introducerende en instruerende </w:t>
      </w:r>
      <w:r>
        <w:rPr>
          <w:b/>
        </w:rPr>
        <w:t>rondleidingen</w:t>
      </w:r>
      <w:r>
        <w:t xml:space="preserve"> voor het brede publiek en voor specifieke doelgroepen en opleiding van bibliotheekpersoneel en begeleiders van specifieke doelgroepen in dit verband</w:t>
      </w:r>
    </w:p>
    <w:p w:rsidR="00B178DA" w:rsidRDefault="00B178DA" w:rsidP="00B178DA">
      <w:pPr>
        <w:ind w:left="76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het uitwerken van </w:t>
      </w:r>
      <w:r>
        <w:rPr>
          <w:b/>
        </w:rPr>
        <w:t>modelprojecten</w:t>
      </w:r>
      <w:r>
        <w:t xml:space="preserve"> die de </w:t>
      </w:r>
      <w:r>
        <w:rPr>
          <w:b/>
        </w:rPr>
        <w:t>toegankelijkheid</w:t>
      </w:r>
      <w:r>
        <w:t xml:space="preserve"> van bibliotheken vergrootten (bv. jongerenhoeken, Makkelijk-Lezen-hoeken…). In dit verband werden er eveneens studiebezoeken en studiedagen georganiseerd en publicaties uitgegeven</w:t>
      </w:r>
    </w:p>
    <w:p w:rsidR="00B178DA" w:rsidRDefault="00B178DA" w:rsidP="00B178DA">
      <w:pPr>
        <w:ind w:left="76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het uitwerken en ondersteunen van ‘modelprojecten’ op het domein van </w:t>
      </w:r>
      <w:r>
        <w:rPr>
          <w:b/>
        </w:rPr>
        <w:t>burgerschapsvorming</w:t>
      </w:r>
      <w:r>
        <w:t xml:space="preserve"> (bv. rond gemeenteraadsverkiezingen) en de </w:t>
      </w:r>
      <w:r>
        <w:rPr>
          <w:b/>
        </w:rPr>
        <w:t>gemeenschapsinformatie</w:t>
      </w:r>
      <w:r>
        <w:t xml:space="preserve"> (project Educatieve Wegwijzer, project vrouweninformatie,…)</w:t>
      </w:r>
    </w:p>
    <w:p w:rsidR="00B178DA" w:rsidRDefault="00B178DA" w:rsidP="00B178DA">
      <w:pPr>
        <w:jc w:val="both"/>
      </w:pPr>
      <w:r>
        <w:t xml:space="preserve"> </w:t>
      </w:r>
    </w:p>
    <w:p w:rsidR="00B178DA" w:rsidRDefault="00B178DA" w:rsidP="00B178DA">
      <w:pPr>
        <w:jc w:val="both"/>
      </w:pPr>
      <w:r>
        <w:t xml:space="preserve">Ter ondersteuning van bibliotheken, leerkrachten en andere begeleiders werden er ook </w:t>
      </w:r>
      <w:r>
        <w:rPr>
          <w:b/>
        </w:rPr>
        <w:t>keuzelijsten</w:t>
      </w:r>
      <w:r>
        <w:t xml:space="preserve"> samengesteld: Sprokkels (voor lezers in de basiseducatie), Lijsttrekkers (voor leerlingen Technisch en Beroepsonderwijs), Zoekhulpen Jongeren (met specifieke jongereninformatie).</w:t>
      </w:r>
    </w:p>
    <w:p w:rsidR="00B178DA" w:rsidRDefault="00B178DA" w:rsidP="00B178DA">
      <w:pPr>
        <w:jc w:val="both"/>
      </w:pPr>
      <w:r>
        <w:t xml:space="preserve"> </w:t>
      </w:r>
    </w:p>
    <w:p w:rsidR="00B178DA" w:rsidRDefault="00B178DA" w:rsidP="00B178DA">
      <w:pPr>
        <w:jc w:val="both"/>
      </w:pPr>
      <w:r>
        <w:t>PLOB publiceerde ten slotte ook Bib-krant, een eigen tijdschrift om informatie over educatieve projecten te verspreiden. De benaming en definitie van ‘</w:t>
      </w:r>
      <w:r>
        <w:rPr>
          <w:b/>
        </w:rPr>
        <w:t>leesbevordering</w:t>
      </w:r>
      <w:r>
        <w:t>’ dook daar voor het eerst op in 1989: “Leesbevordering is geen helder omlijnd idee, eerder een verzamelbegrip voor allerlei activiteiten die met lezen te maken hebben. Ze drukken de bekommernis uit van overheid, boekhandels, uitgevers, scholen, vormingsinstellingen en – uiteraard – bibliotheken om het lezen (van boeken) te bevorderen.”</w:t>
      </w:r>
    </w:p>
    <w:p w:rsidR="00B178DA" w:rsidRDefault="00B178DA" w:rsidP="00B178DA">
      <w:pPr>
        <w:jc w:val="both"/>
      </w:pPr>
    </w:p>
    <w:p w:rsidR="00B178DA" w:rsidRDefault="00B178DA" w:rsidP="00B178DA">
      <w:pPr>
        <w:jc w:val="both"/>
      </w:pPr>
      <w:r>
        <w:t xml:space="preserve"> </w:t>
      </w:r>
    </w:p>
    <w:p w:rsidR="00B178DA" w:rsidRDefault="00B178DA" w:rsidP="003273AA">
      <w:pPr>
        <w:pStyle w:val="Kop1"/>
      </w:pPr>
      <w:bookmarkStart w:id="2" w:name="_Toc27671641"/>
      <w:r>
        <w:t>1995  Een nieuwe naam, een nieuw statuut:</w:t>
      </w:r>
      <w:r w:rsidR="00A36DD6">
        <w:t xml:space="preserve"> </w:t>
      </w:r>
      <w:r>
        <w:t>Centrum voor Lezen en Informatie (LINC)</w:t>
      </w:r>
      <w:bookmarkEnd w:id="2"/>
    </w:p>
    <w:p w:rsidR="00B178DA" w:rsidRDefault="00B178DA" w:rsidP="00B178DA">
      <w:pPr>
        <w:jc w:val="both"/>
      </w:pPr>
      <w:r>
        <w:t xml:space="preserve"> </w:t>
      </w:r>
    </w:p>
    <w:p w:rsidR="00B178DA" w:rsidRDefault="00B178DA" w:rsidP="00B178DA">
      <w:pPr>
        <w:jc w:val="both"/>
      </w:pPr>
      <w:r>
        <w:t xml:space="preserve">PLOB koos er in 1995 voor om verder te werken onder een nieuwe naam: </w:t>
      </w:r>
      <w:r>
        <w:rPr>
          <w:b/>
        </w:rPr>
        <w:t>C</w:t>
      </w:r>
      <w:r>
        <w:t xml:space="preserve">entrum voor </w:t>
      </w:r>
      <w:r>
        <w:rPr>
          <w:b/>
        </w:rPr>
        <w:t>L</w:t>
      </w:r>
      <w:r>
        <w:t xml:space="preserve">ezen en </w:t>
      </w:r>
      <w:r>
        <w:rPr>
          <w:b/>
        </w:rPr>
        <w:t>In</w:t>
      </w:r>
      <w:r>
        <w:t xml:space="preserve">formatie. De naam wordt afgekort tot LINC. De naamswijziging ging gepaard met een herformulering van de doelstellingen die ook statutair werd vastgelegd in het Belgisch Staatsblad. Het vernieuwde doelstellingenkader verlegde de focus naar een bredere thematiek: de </w:t>
      </w:r>
      <w:r>
        <w:rPr>
          <w:b/>
        </w:rPr>
        <w:t>toegang tot kennis</w:t>
      </w:r>
      <w:r>
        <w:t xml:space="preserve"> en de voorwaarden die belangrijk zijn om de toegang tot kennis te kunnen garanderen.  Vanuit dit kader ondernam LINC acties om:</w:t>
      </w:r>
    </w:p>
    <w:p w:rsidR="00B178DA" w:rsidRDefault="00B178DA" w:rsidP="00B178DA">
      <w:pPr>
        <w:ind w:left="1080" w:hanging="360"/>
        <w:jc w:val="both"/>
      </w:pPr>
      <w:r>
        <w:t>-</w:t>
      </w:r>
      <w:r>
        <w:rPr>
          <w:rFonts w:ascii="Times New Roman" w:eastAsia="Times New Roman" w:hAnsi="Times New Roman" w:cs="Times New Roman"/>
          <w:sz w:val="14"/>
          <w:szCs w:val="14"/>
        </w:rPr>
        <w:t xml:space="preserve">       </w:t>
      </w:r>
      <w:r>
        <w:t xml:space="preserve">het </w:t>
      </w:r>
      <w:r>
        <w:rPr>
          <w:i/>
        </w:rPr>
        <w:t>lezen</w:t>
      </w:r>
      <w:r>
        <w:t xml:space="preserve"> te stimuleren,</w:t>
      </w:r>
    </w:p>
    <w:p w:rsidR="00B178DA" w:rsidRDefault="00B178DA" w:rsidP="00B178DA">
      <w:pPr>
        <w:ind w:left="1080" w:hanging="360"/>
        <w:jc w:val="both"/>
      </w:pPr>
      <w:r>
        <w:t>-</w:t>
      </w:r>
      <w:r>
        <w:rPr>
          <w:rFonts w:ascii="Times New Roman" w:eastAsia="Times New Roman" w:hAnsi="Times New Roman" w:cs="Times New Roman"/>
          <w:sz w:val="14"/>
          <w:szCs w:val="14"/>
        </w:rPr>
        <w:t xml:space="preserve">       </w:t>
      </w:r>
      <w:r>
        <w:rPr>
          <w:i/>
        </w:rPr>
        <w:t>de informatiecompetentie</w:t>
      </w:r>
      <w:r>
        <w:t xml:space="preserve"> van mensen te verhogen en</w:t>
      </w:r>
    </w:p>
    <w:p w:rsidR="00B178DA" w:rsidRDefault="00B178DA" w:rsidP="00B178DA">
      <w:pPr>
        <w:ind w:left="1080" w:hanging="360"/>
        <w:jc w:val="both"/>
      </w:pPr>
      <w:r>
        <w:t>-</w:t>
      </w:r>
      <w:r>
        <w:rPr>
          <w:rFonts w:ascii="Times New Roman" w:eastAsia="Times New Roman" w:hAnsi="Times New Roman" w:cs="Times New Roman"/>
          <w:sz w:val="14"/>
          <w:szCs w:val="14"/>
        </w:rPr>
        <w:t xml:space="preserve">       </w:t>
      </w:r>
      <w:r>
        <w:t xml:space="preserve">de </w:t>
      </w:r>
      <w:r>
        <w:rPr>
          <w:i/>
        </w:rPr>
        <w:t>informatievoorziening</w:t>
      </w:r>
      <w:r>
        <w:t xml:space="preserve"> beter af te stemmen op de noden van de burgers. </w:t>
      </w:r>
    </w:p>
    <w:p w:rsidR="00B178DA" w:rsidRDefault="00B178DA" w:rsidP="00B178DA">
      <w:pPr>
        <w:jc w:val="both"/>
      </w:pPr>
      <w:r>
        <w:t xml:space="preserve"> </w:t>
      </w:r>
    </w:p>
    <w:p w:rsidR="00B178DA" w:rsidRDefault="00B178DA" w:rsidP="00B178DA">
      <w:pPr>
        <w:jc w:val="both"/>
      </w:pPr>
      <w:r>
        <w:t xml:space="preserve">Met de </w:t>
      </w:r>
      <w:r>
        <w:rPr>
          <w:b/>
        </w:rPr>
        <w:t>erkenning op het dienstendecreet (1997-2005)</w:t>
      </w:r>
      <w:r>
        <w:t xml:space="preserve"> werd LINC een </w:t>
      </w:r>
      <w:r>
        <w:rPr>
          <w:b/>
        </w:rPr>
        <w:t>dienst ter ondersteuning en begeleiding van het sociaal cultureel volwassenenwerk</w:t>
      </w:r>
      <w:r>
        <w:t xml:space="preserve">. Dit vertaalde zich in een verbreding van het aantal en de soorten organisaties waar LINC ondersteuning aan bood. Tegelijk zorgde de intrede van het </w:t>
      </w:r>
      <w:r>
        <w:rPr>
          <w:b/>
        </w:rPr>
        <w:t xml:space="preserve">Internet </w:t>
      </w:r>
      <w:r>
        <w:t>midden jaren ’90 voor een thematische verbreding.</w:t>
      </w:r>
    </w:p>
    <w:p w:rsidR="00B178DA" w:rsidRDefault="00B178DA" w:rsidP="00B178DA">
      <w:pPr>
        <w:jc w:val="both"/>
      </w:pPr>
      <w:r>
        <w:t xml:space="preserve"> </w:t>
      </w:r>
    </w:p>
    <w:p w:rsidR="00B178DA" w:rsidRDefault="00B178DA" w:rsidP="00B178DA">
      <w:pPr>
        <w:jc w:val="both"/>
      </w:pPr>
      <w:r>
        <w:t xml:space="preserve">De naam 'Centrum voor Lezen en Informatie' onderstreepte het feit dat de organisatie haar drie werkterreinen als een samenhangend geheel ziet. In haar concrete benadering beoogde LINC </w:t>
      </w:r>
      <w:r>
        <w:rPr>
          <w:b/>
        </w:rPr>
        <w:t xml:space="preserve">verbanden </w:t>
      </w:r>
      <w:r>
        <w:t xml:space="preserve">te leggen tussen verschillende soorten media (literaire en informatieve </w:t>
      </w:r>
      <w:r>
        <w:lastRenderedPageBreak/>
        <w:t>media), tussen verschillende soorten competenties (culturele competentie en informatiecompetentie),  tussen verschillende soorten bemiddelaars in verschillende sectoren (overheidsdiensten, bibliotheken en informatiediensten in diverse sectoren).</w:t>
      </w:r>
    </w:p>
    <w:p w:rsidR="00B178DA" w:rsidRDefault="00B178DA" w:rsidP="00B178DA">
      <w:pPr>
        <w:jc w:val="both"/>
      </w:pPr>
      <w:r>
        <w:t xml:space="preserve"> </w:t>
      </w:r>
    </w:p>
    <w:p w:rsidR="00B178DA" w:rsidRDefault="00B178DA" w:rsidP="00B178DA">
      <w:pPr>
        <w:jc w:val="both"/>
      </w:pPr>
      <w:r>
        <w:t xml:space="preserve">De keuze voor een erkenning op het dienstendecreet bracht met zich mee dat LINC zich begon te profileren als een organisatie die de werking van andere organisaties en diensten ondersteunt. De kruispuntfunctie die bij oprichting van haar voorloper centraal stond, bleef een belangrijke rode draad in het geheel van de werking. LINC bereikte met haar diensten organisaties in de </w:t>
      </w:r>
      <w:r>
        <w:rPr>
          <w:b/>
        </w:rPr>
        <w:t>brede sociaal-culturele sector</w:t>
      </w:r>
      <w:r>
        <w:t xml:space="preserve"> (verenigingen, instellingen, openbare bibliotheken, culturele centra, het jeugdwerk,..), </w:t>
      </w:r>
      <w:r>
        <w:rPr>
          <w:b/>
        </w:rPr>
        <w:t>in het volwassenenonderwijs en reguliere onderwijs, in de sociale en de welzijnssector</w:t>
      </w:r>
      <w:r>
        <w:t xml:space="preserve"> (bijvoorbeeld kinderdagverblijven en diensten opvanggezinnen, buurthuizen, migrantenorganisaties,...)</w:t>
      </w:r>
    </w:p>
    <w:p w:rsidR="00B178DA" w:rsidRDefault="00B178DA" w:rsidP="00B178DA">
      <w:pPr>
        <w:jc w:val="both"/>
      </w:pPr>
      <w:r>
        <w:t xml:space="preserve">Voor studiedoeleinden of ter inspiratie van de eigen praktijk konden studenten, leerkrachten en andere opvoeders, bibliotheekmedewerkers en informatiebemiddelaars terecht in een goed uitgebouwd </w:t>
      </w:r>
      <w:r>
        <w:rPr>
          <w:b/>
        </w:rPr>
        <w:t>documentatiecentrum</w:t>
      </w:r>
      <w:r>
        <w:t xml:space="preserve"> met achtergrondliteratuur, projectbeschrijvingen en verwijsinformatie, zowel uit Vlaanderen als uit Nederland. De meest recente informatie was te vinden in het driemaandelijkse </w:t>
      </w:r>
      <w:r>
        <w:rPr>
          <w:b/>
        </w:rPr>
        <w:t>tijdschrift Klapper</w:t>
      </w:r>
      <w:r>
        <w:t>, met bijdragen over eigen projecten of initiatieven van derden en signalementen van de nieuwste vakliteratuur en webpublicaties.</w:t>
      </w:r>
    </w:p>
    <w:p w:rsidR="00B178DA" w:rsidRDefault="00B178DA" w:rsidP="00B178DA">
      <w:pPr>
        <w:jc w:val="both"/>
      </w:pPr>
      <w:r>
        <w:t xml:space="preserve"> </w:t>
      </w:r>
    </w:p>
    <w:p w:rsidR="00B178DA" w:rsidRDefault="00B178DA" w:rsidP="00B178DA">
      <w:pPr>
        <w:jc w:val="both"/>
      </w:pPr>
      <w:r>
        <w:t xml:space="preserve">Met haar ondersteuningsaanbod richtte LINC zich tot medewerkers, begeleiders en/of </w:t>
      </w:r>
      <w:r>
        <w:rPr>
          <w:b/>
        </w:rPr>
        <w:t>intermediairen</w:t>
      </w:r>
      <w:r>
        <w:t xml:space="preserve">, werkzaam in de hoger genoemde sectoren.  De organisaties konden op hun beurt voor hun doelgroep (cursisten, leerlingen, leden...) </w:t>
      </w:r>
      <w:r>
        <w:rPr>
          <w:b/>
        </w:rPr>
        <w:t>kant-en-klare lezingen en programma's aanvragen</w:t>
      </w:r>
      <w:r>
        <w:t xml:space="preserve"> of ze door LINC laten uitwerken of hun eigen projecten door LINC laten begeleiden.</w:t>
      </w:r>
    </w:p>
    <w:p w:rsidR="00B178DA" w:rsidRDefault="00B178DA" w:rsidP="00B178DA">
      <w:pPr>
        <w:jc w:val="both"/>
      </w:pPr>
      <w:r>
        <w:t xml:space="preserve"> </w:t>
      </w:r>
    </w:p>
    <w:p w:rsidR="00B178DA" w:rsidRDefault="00B178DA" w:rsidP="00B178DA">
      <w:pPr>
        <w:jc w:val="both"/>
      </w:pPr>
    </w:p>
    <w:p w:rsidR="00B178DA" w:rsidRDefault="00B178DA" w:rsidP="00B178DA">
      <w:pPr>
        <w:jc w:val="both"/>
      </w:pPr>
    </w:p>
    <w:p w:rsidR="00B178DA" w:rsidRDefault="00B178DA" w:rsidP="00A36DD6">
      <w:pPr>
        <w:pStyle w:val="Kop1"/>
      </w:pPr>
      <w:bookmarkStart w:id="3" w:name="_Toc27671642"/>
      <w:r>
        <w:t>VANAF 2005: LINC ALS SOCIAAL-CULTURELE BEWEGING</w:t>
      </w:r>
      <w:bookmarkEnd w:id="3"/>
    </w:p>
    <w:p w:rsidR="00B178DA" w:rsidRDefault="00B178DA" w:rsidP="00B178DA">
      <w:pPr>
        <w:jc w:val="both"/>
      </w:pPr>
      <w:r>
        <w:t xml:space="preserve"> </w:t>
      </w:r>
    </w:p>
    <w:p w:rsidR="00B178DA" w:rsidRDefault="00B178DA" w:rsidP="00B178DA">
      <w:pPr>
        <w:jc w:val="both"/>
      </w:pPr>
      <w:r>
        <w:t>Een aantal ontwikkelingen op nationaal en internationaal niveau tijdens de eerste jaren van de 21</w:t>
      </w:r>
      <w:r>
        <w:rPr>
          <w:vertAlign w:val="superscript"/>
        </w:rPr>
        <w:t>ste</w:t>
      </w:r>
      <w:r>
        <w:t xml:space="preserve"> eeuw beïnvloeden de verdere evolutie van LINC. Zo lanceerde UNESCO na de VN Wereldtop over de informatiemaatschappij, de term </w:t>
      </w:r>
      <w:r>
        <w:rPr>
          <w:b/>
        </w:rPr>
        <w:t>kennismaatschappij</w:t>
      </w:r>
      <w:r>
        <w:t xml:space="preserve">. De Vlaamse regering formuleerde in 2005 de doelstelling om tegen 2010 te evolueren tot kennismaatschappij. Hierbij moesten voldoende inspanningen worden geleverd om de </w:t>
      </w:r>
      <w:r>
        <w:rPr>
          <w:b/>
        </w:rPr>
        <w:t>digitale kloof</w:t>
      </w:r>
      <w:r>
        <w:t xml:space="preserve"> te dichten die was ontstaan bij de digitalisering van alle levensdomeinen in deze periode.</w:t>
      </w:r>
    </w:p>
    <w:p w:rsidR="00B178DA" w:rsidRDefault="00B178DA" w:rsidP="00B178DA">
      <w:pPr>
        <w:jc w:val="both"/>
      </w:pPr>
      <w:r>
        <w:t xml:space="preserve"> </w:t>
      </w:r>
    </w:p>
    <w:p w:rsidR="00B178DA" w:rsidRDefault="00B178DA" w:rsidP="00B178DA">
      <w:pPr>
        <w:jc w:val="both"/>
      </w:pPr>
      <w:r>
        <w:t xml:space="preserve">LINC stelde zich tot doel te werken aan een </w:t>
      </w:r>
      <w:r>
        <w:rPr>
          <w:b/>
        </w:rPr>
        <w:t>inclusieve kennismaatschappij</w:t>
      </w:r>
      <w:r>
        <w:t xml:space="preserve">, waarbij kennis niet alleen toegankelijk moet zijn voor iedereen, maar waarin elke burger ook de kans heeft te </w:t>
      </w:r>
      <w:r>
        <w:rPr>
          <w:b/>
        </w:rPr>
        <w:t>participeren</w:t>
      </w:r>
      <w:r>
        <w:t xml:space="preserve">. Om mee vorm te kunnen geven aan de samenleving, zijn niet alleen informatie- maar ook communicatievaardigheden onontbeerlijk. LINC stond vanaf nu voor </w:t>
      </w:r>
      <w:r>
        <w:rPr>
          <w:b/>
        </w:rPr>
        <w:t>Centrum voor Lezen, Informatie en Communicatie</w:t>
      </w:r>
      <w:r>
        <w:t>.</w:t>
      </w:r>
    </w:p>
    <w:p w:rsidR="00B178DA" w:rsidRDefault="00B178DA" w:rsidP="00B178DA">
      <w:pPr>
        <w:jc w:val="both"/>
      </w:pPr>
      <w:r>
        <w:t xml:space="preserve"> </w:t>
      </w:r>
    </w:p>
    <w:p w:rsidR="00B178DA" w:rsidRDefault="00B178DA" w:rsidP="00B178DA">
      <w:pPr>
        <w:jc w:val="both"/>
      </w:pPr>
      <w:r>
        <w:t xml:space="preserve">In 2005 werd LINC onder het </w:t>
      </w:r>
      <w:r>
        <w:rPr>
          <w:b/>
        </w:rPr>
        <w:t>Decreet Sociaal Cultureel Volwassenenwerk (2003)</w:t>
      </w:r>
      <w:r>
        <w:t xml:space="preserve"> gesubsidieerd als </w:t>
      </w:r>
      <w:r>
        <w:rPr>
          <w:b/>
        </w:rPr>
        <w:t>beweging</w:t>
      </w:r>
      <w:r>
        <w:t xml:space="preserve">. Deze nieuwe werksoort zet in op sensibilisering, educatie en sociale actie rond één of meerdere (nauw verwante) thema’s. LINC zet in op een inclusieve </w:t>
      </w:r>
      <w:r>
        <w:lastRenderedPageBreak/>
        <w:t>kennismaatschappij via een cluster aan invalshoeken van het brede thema geletterdheid, zoals leesbevordering, mediawijsheid en e-inclusie. Op 1 januari 2013 werd LINC als beweging erkend.</w:t>
      </w:r>
    </w:p>
    <w:p w:rsidR="00B178DA" w:rsidRDefault="00B178DA" w:rsidP="00A36DD6">
      <w:pPr>
        <w:pStyle w:val="Kop1"/>
      </w:pPr>
      <w:bookmarkStart w:id="4" w:name="_Toc27671643"/>
      <w:r>
        <w:t>EDUCATIE en SOCIALE ACTIE</w:t>
      </w:r>
      <w:bookmarkEnd w:id="4"/>
    </w:p>
    <w:p w:rsidR="00B178DA" w:rsidRDefault="00B178DA" w:rsidP="00B178DA">
      <w:pPr>
        <w:jc w:val="both"/>
      </w:pPr>
      <w:r>
        <w:t xml:space="preserve">        </w:t>
      </w:r>
      <w:r>
        <w:tab/>
      </w:r>
    </w:p>
    <w:p w:rsidR="00B178DA" w:rsidRDefault="00B178DA" w:rsidP="00B178DA">
      <w:pPr>
        <w:jc w:val="both"/>
        <w:rPr>
          <w:b/>
          <w:u w:val="single"/>
        </w:rPr>
      </w:pPr>
      <w:r>
        <w:rPr>
          <w:b/>
          <w:u w:val="single"/>
        </w:rPr>
        <w:t>Leespromotie</w:t>
      </w:r>
    </w:p>
    <w:p w:rsidR="00B178DA" w:rsidRDefault="00B178DA" w:rsidP="00B178DA">
      <w:pPr>
        <w:jc w:val="both"/>
        <w:rPr>
          <w:b/>
        </w:rPr>
      </w:pPr>
      <w:r>
        <w:rPr>
          <w:b/>
        </w:rPr>
        <w:t xml:space="preserve">        </w:t>
      </w:r>
      <w:r>
        <w:rPr>
          <w:b/>
        </w:rPr>
        <w:tab/>
      </w:r>
    </w:p>
    <w:p w:rsidR="00B178DA" w:rsidRDefault="00B178DA" w:rsidP="00B178DA">
      <w:pPr>
        <w:jc w:val="both"/>
        <w:rPr>
          <w:b/>
        </w:rPr>
      </w:pPr>
      <w:r>
        <w:rPr>
          <w:b/>
        </w:rPr>
        <w:t>Voorleespunten</w:t>
      </w:r>
    </w:p>
    <w:p w:rsidR="00B178DA" w:rsidRDefault="00B178DA" w:rsidP="00B178DA">
      <w:pPr>
        <w:jc w:val="both"/>
      </w:pPr>
      <w:r>
        <w:t xml:space="preserve"> </w:t>
      </w:r>
    </w:p>
    <w:p w:rsidR="00B178DA" w:rsidRDefault="00B178DA" w:rsidP="00B178DA">
      <w:pPr>
        <w:jc w:val="both"/>
      </w:pPr>
      <w:r>
        <w:t>Kinderen die van kleins af opgroeien met boeken en kunnen genieten van voorlezen hebben een streepje voor. Lezen en schrijven zijn voor hen vanzelfsprekend en dat blijft belangrijk, ook in tijden van chatten, weblogs en online leren. Door het opstarten van plaatselijke voorleespunten zorgde LINC er in deze periode voor dat er aan zoveel mogelijk jonge kinderen wordt voorgelezen. Want dat is al spelend leren. Tal van initaieven groeiden uit tot lokale succesverhalen en lopen tot op de dag van vandaag in bibliotheken.</w:t>
      </w:r>
    </w:p>
    <w:p w:rsidR="00B178DA" w:rsidRDefault="00B178DA" w:rsidP="00B178DA">
      <w:pPr>
        <w:jc w:val="both"/>
      </w:pPr>
      <w:r>
        <w:t xml:space="preserve"> </w:t>
      </w:r>
    </w:p>
    <w:p w:rsidR="00B178DA" w:rsidRDefault="00B178DA" w:rsidP="00B178DA">
      <w:pPr>
        <w:jc w:val="both"/>
      </w:pPr>
      <w:r>
        <w:t xml:space="preserve">Bibliotheken die een eigen voorleeswerking willen opzetten, doen nog steeds een beroep op LINC voor de opleiding en bijscholing van hun vrijwilligers (zie workshops). LINC deed ook ervaring op met voorlezen aan ouderen door zelf enkele voorleespunten in woon- en zorgcentra op te zetten. </w:t>
      </w:r>
      <w:r>
        <w:br/>
      </w:r>
    </w:p>
    <w:p w:rsidR="00B178DA" w:rsidRDefault="00B178DA" w:rsidP="00B178DA">
      <w:pPr>
        <w:jc w:val="both"/>
      </w:pPr>
    </w:p>
    <w:p w:rsidR="00B178DA" w:rsidRDefault="00B178DA" w:rsidP="00B178DA">
      <w:pPr>
        <w:jc w:val="both"/>
      </w:pPr>
      <w:r>
        <w:t xml:space="preserve">Opdat er meer van dergelijke voorleespunten worden opgericht in Vlaanderen blijft LINC haar expertise eveneens doorgeven via workshops ‘Wijs maar niet uitgelezen’. Deze worden afgenomen door samenwerkingsverbanden van bibliotheken en woon- en zorgcentra. In samenwerking met partner ‘Iedereen Leest’ hebben we het concept verankerd in studiedagen ‘Voorlezen aan Ouderen’ die we sinds 2013 samen organiseren en waar we ook in 2019 weer de draad van opnamen. </w:t>
      </w:r>
    </w:p>
    <w:p w:rsidR="00B178DA" w:rsidRDefault="00B178DA" w:rsidP="00B178DA">
      <w:pPr>
        <w:jc w:val="both"/>
      </w:pPr>
      <w:r>
        <w:t xml:space="preserve">        </w:t>
      </w:r>
      <w:r>
        <w:tab/>
      </w:r>
    </w:p>
    <w:p w:rsidR="00B178DA" w:rsidRDefault="00B178DA" w:rsidP="00B178DA">
      <w:pPr>
        <w:ind w:firstLine="720"/>
        <w:jc w:val="both"/>
      </w:pPr>
    </w:p>
    <w:p w:rsidR="00B178DA" w:rsidRDefault="00B178DA" w:rsidP="00B178DA">
      <w:pPr>
        <w:jc w:val="both"/>
        <w:rPr>
          <w:b/>
        </w:rPr>
      </w:pPr>
      <w:r>
        <w:rPr>
          <w:b/>
        </w:rPr>
        <w:t>Workshops</w:t>
      </w:r>
    </w:p>
    <w:p w:rsidR="00B178DA" w:rsidRDefault="00B178DA" w:rsidP="00B178DA">
      <w:pPr>
        <w:jc w:val="both"/>
        <w:rPr>
          <w:b/>
        </w:rPr>
      </w:pPr>
    </w:p>
    <w:p w:rsidR="00B178DA" w:rsidRDefault="00B178DA" w:rsidP="00B178DA">
      <w:pPr>
        <w:jc w:val="both"/>
      </w:pPr>
      <w:r>
        <w:t>LINC biedt verschillende workshops rond voorlezen als basis van leesbevordering aan.</w:t>
      </w:r>
    </w:p>
    <w:p w:rsidR="00B178DA" w:rsidRDefault="00B178DA" w:rsidP="00B178DA">
      <w:pPr>
        <w:numPr>
          <w:ilvl w:val="0"/>
          <w:numId w:val="11"/>
        </w:numPr>
        <w:jc w:val="both"/>
      </w:pPr>
      <w:r>
        <w:t>Workshops op maat voor vrijwillige voorlezers, ouders en anderstalige ouders, grootouders en opvoeders</w:t>
      </w:r>
    </w:p>
    <w:p w:rsidR="00B178DA" w:rsidRDefault="00B178DA" w:rsidP="00B178DA">
      <w:pPr>
        <w:numPr>
          <w:ilvl w:val="0"/>
          <w:numId w:val="11"/>
        </w:numPr>
        <w:jc w:val="both"/>
      </w:pPr>
      <w:r>
        <w:t>Wijs maar niet uitgelezen (voorlezen aan ouderen)</w:t>
      </w:r>
    </w:p>
    <w:p w:rsidR="00B178DA" w:rsidRDefault="00B178DA" w:rsidP="00B178DA">
      <w:pPr>
        <w:numPr>
          <w:ilvl w:val="0"/>
          <w:numId w:val="11"/>
        </w:numPr>
        <w:jc w:val="both"/>
      </w:pPr>
      <w:r>
        <w:t>Wijs maar niet uitgelezen plus (voorlezen aan ouderen met dementie)</w:t>
      </w:r>
    </w:p>
    <w:p w:rsidR="00B178DA" w:rsidRDefault="00B178DA" w:rsidP="00B178DA">
      <w:pPr>
        <w:numPr>
          <w:ilvl w:val="0"/>
          <w:numId w:val="11"/>
        </w:numPr>
        <w:jc w:val="both"/>
      </w:pPr>
      <w:r>
        <w:t>Digitaal voorlezen</w:t>
      </w:r>
    </w:p>
    <w:p w:rsidR="00B178DA" w:rsidRDefault="00B178DA" w:rsidP="00B178DA">
      <w:pPr>
        <w:numPr>
          <w:ilvl w:val="0"/>
          <w:numId w:val="11"/>
        </w:numPr>
        <w:jc w:val="both"/>
      </w:pPr>
      <w:r>
        <w:t>Storytelling (verhalen genereren verhalen)</w:t>
      </w:r>
    </w:p>
    <w:p w:rsidR="00B178DA" w:rsidRDefault="00B178DA" w:rsidP="00B178DA">
      <w:pPr>
        <w:numPr>
          <w:ilvl w:val="0"/>
          <w:numId w:val="11"/>
        </w:numPr>
        <w:jc w:val="both"/>
      </w:pPr>
      <w:r>
        <w:t>Start to read for kids (gericht op (groot)ouders van kinderen die net leren lezen)</w:t>
      </w:r>
    </w:p>
    <w:p w:rsidR="00B178DA" w:rsidRDefault="00B178DA" w:rsidP="00B178DA">
      <w:pPr>
        <w:numPr>
          <w:ilvl w:val="0"/>
          <w:numId w:val="11"/>
        </w:numPr>
        <w:jc w:val="both"/>
      </w:pPr>
      <w:r>
        <w:t>Kamishibai (introductie in een Japanse vertelvorm voor leerkrachten, ouders, kinderopvang etc)</w:t>
      </w:r>
    </w:p>
    <w:p w:rsidR="00B178DA" w:rsidRDefault="00B178DA" w:rsidP="00B178DA">
      <w:pPr>
        <w:numPr>
          <w:ilvl w:val="0"/>
          <w:numId w:val="11"/>
        </w:numPr>
        <w:jc w:val="both"/>
      </w:pPr>
      <w:r>
        <w:t>Kom maar dichterbij (voorlezen aan je (klein)kind)</w:t>
      </w:r>
    </w:p>
    <w:p w:rsidR="00B178DA" w:rsidRDefault="00B178DA" w:rsidP="00B178DA">
      <w:pPr>
        <w:jc w:val="both"/>
      </w:pPr>
      <w:r>
        <w:t xml:space="preserve"> </w:t>
      </w:r>
    </w:p>
    <w:p w:rsidR="00B178DA" w:rsidRDefault="00B178DA" w:rsidP="00B178DA">
      <w:pPr>
        <w:jc w:val="both"/>
      </w:pPr>
    </w:p>
    <w:p w:rsidR="00EE7139" w:rsidRDefault="00EE7139">
      <w:pPr>
        <w:spacing w:after="160" w:line="259" w:lineRule="auto"/>
        <w:rPr>
          <w:b/>
          <w:u w:val="single"/>
        </w:rPr>
      </w:pPr>
      <w:r>
        <w:rPr>
          <w:b/>
          <w:u w:val="single"/>
        </w:rPr>
        <w:br w:type="page"/>
      </w:r>
    </w:p>
    <w:p w:rsidR="00B178DA" w:rsidRDefault="00B178DA" w:rsidP="00B178DA">
      <w:pPr>
        <w:jc w:val="both"/>
        <w:rPr>
          <w:b/>
          <w:u w:val="single"/>
        </w:rPr>
      </w:pPr>
      <w:r>
        <w:rPr>
          <w:b/>
          <w:u w:val="single"/>
        </w:rPr>
        <w:lastRenderedPageBreak/>
        <w:t>E-inclusie en mediawijsheid</w:t>
      </w:r>
    </w:p>
    <w:p w:rsidR="00B178DA" w:rsidRDefault="00B178DA" w:rsidP="00B178DA">
      <w:pPr>
        <w:jc w:val="both"/>
      </w:pPr>
      <w:r>
        <w:t xml:space="preserve"> </w:t>
      </w:r>
    </w:p>
    <w:p w:rsidR="00B178DA" w:rsidRDefault="00B178DA" w:rsidP="00B178DA">
      <w:pPr>
        <w:jc w:val="both"/>
        <w:rPr>
          <w:b/>
          <w:i/>
        </w:rPr>
      </w:pPr>
      <w:r>
        <w:rPr>
          <w:b/>
          <w:i/>
        </w:rPr>
        <w:t>Centra Nieuwe Geletterdheid (CNG)</w:t>
      </w:r>
    </w:p>
    <w:p w:rsidR="00B178DA" w:rsidRDefault="00B178DA" w:rsidP="00B178DA">
      <w:pPr>
        <w:jc w:val="both"/>
      </w:pPr>
      <w:r>
        <w:t xml:space="preserve"> </w:t>
      </w:r>
    </w:p>
    <w:p w:rsidR="00B178DA" w:rsidRDefault="00B178DA" w:rsidP="00B178DA">
      <w:pPr>
        <w:jc w:val="both"/>
      </w:pPr>
      <w:r>
        <w:t xml:space="preserve">Om de digitale kloof te overbruggen richtte LINC samen met bibliotheken en het vormings- en welzijnswerk Centra Nieuwe Geletterdheid (CNG) op. In zo’n CNG kan iedereen gebruikmaken van elektronische apparatuur en zijn er enthousiaste mensen aanwezig die bezoekers de vaardigheden leren om op de digitale snelweg te geraken. Elk project kreeg lokaal een andere focus en tal van unieke uitlopers zijn tot op heden lokaal actief. Bekende voorbeelden zijn </w:t>
      </w:r>
      <w:r w:rsidR="00EE7139" w:rsidRPr="00EE7139">
        <w:rPr>
          <w:b/>
        </w:rPr>
        <w:t>ZANDLETTERS</w:t>
      </w:r>
      <w:r>
        <w:t>(Oostende),  ‘t Klikt (Vlaams-Brabant) en Bibopener (Kempen).</w:t>
      </w:r>
    </w:p>
    <w:p w:rsidR="00B178DA" w:rsidRDefault="00B178DA" w:rsidP="00B178DA">
      <w:pPr>
        <w:jc w:val="both"/>
      </w:pPr>
      <w:r>
        <w:t xml:space="preserve"> </w:t>
      </w:r>
    </w:p>
    <w:p w:rsidR="00B178DA" w:rsidRDefault="00B178DA" w:rsidP="00B178DA">
      <w:pPr>
        <w:jc w:val="both"/>
        <w:rPr>
          <w:b/>
          <w:i/>
        </w:rPr>
      </w:pPr>
      <w:r>
        <w:rPr>
          <w:b/>
          <w:i/>
        </w:rPr>
        <w:t>Van het VSNG naar het E-inclusieplatform</w:t>
      </w:r>
    </w:p>
    <w:p w:rsidR="00B178DA" w:rsidRDefault="00B178DA" w:rsidP="00B178DA">
      <w:pPr>
        <w:jc w:val="both"/>
      </w:pPr>
      <w:r>
        <w:t xml:space="preserve"> </w:t>
      </w:r>
    </w:p>
    <w:p w:rsidR="00B178DA" w:rsidRDefault="00B178DA" w:rsidP="00B178DA">
      <w:pPr>
        <w:jc w:val="both"/>
      </w:pPr>
      <w:r>
        <w:t>Initiatieven genoeg in Vlaanderen die de digitale kloof willen overbruggen. Maar ze blijven te versnipperd en missen een platform. Daarom richtte LINC samen met Esnet, een ESF-project, in 2005 het Vlaams Steunpunt Nieuwe Geletterdheid op.</w:t>
      </w:r>
    </w:p>
    <w:p w:rsidR="00B178DA" w:rsidRDefault="00B178DA" w:rsidP="00B178DA">
      <w:pPr>
        <w:jc w:val="both"/>
      </w:pPr>
      <w:r>
        <w:t xml:space="preserve"> </w:t>
      </w:r>
    </w:p>
    <w:p w:rsidR="00B178DA" w:rsidRDefault="00B178DA" w:rsidP="00B178DA">
      <w:pPr>
        <w:jc w:val="both"/>
      </w:pPr>
      <w:r>
        <w:t>Het VSNG wou de verschillende projecten ondersteunen en samen met hen het onsamenhangende e-inclusiebeleid bijsturen. De vereende krachten maakten hen sterker en zichtbaarder, zeker naar de overheid toe, voor wie het VSNG een goede gesprekspartner was. Het netwerk bestond uit zowel vzw's, steden en gemeenten, bibliotheken, OCMW's, openbare computerruimtes als onderwijs- en onderzoeksinstellingen en bedrijven.</w:t>
      </w:r>
    </w:p>
    <w:p w:rsidR="00B178DA" w:rsidRDefault="00B178DA" w:rsidP="00B178DA">
      <w:pPr>
        <w:jc w:val="both"/>
      </w:pPr>
      <w:r>
        <w:t xml:space="preserve"> </w:t>
      </w:r>
    </w:p>
    <w:p w:rsidR="00B178DA" w:rsidRDefault="00B178DA" w:rsidP="00B178DA">
      <w:pPr>
        <w:jc w:val="both"/>
      </w:pPr>
      <w:r>
        <w:t>Het VSNG vormde tijdens de Digitale Week een brug tussen de organisaties en de overheid dankzij twee studiedagen</w:t>
      </w:r>
      <w:r>
        <w:rPr>
          <w:b/>
        </w:rPr>
        <w:t xml:space="preserve"> </w:t>
      </w:r>
      <w:r>
        <w:t>in het Vlaams en federaal parlement. De inhoudelijke invulling bestond uit een theoretisch kader, praktijkvoorbeelden en aanbevelingen aan de overheid.</w:t>
      </w:r>
    </w:p>
    <w:p w:rsidR="00B178DA" w:rsidRDefault="00B178DA" w:rsidP="00B178DA">
      <w:pPr>
        <w:jc w:val="both"/>
      </w:pPr>
    </w:p>
    <w:p w:rsidR="00B178DA" w:rsidRDefault="00B178DA" w:rsidP="00B178DA">
      <w:pPr>
        <w:jc w:val="both"/>
      </w:pPr>
      <w:r>
        <w:t xml:space="preserve">In 2014 evolueerde het VSNG naar het </w:t>
      </w:r>
      <w:r>
        <w:rPr>
          <w:b/>
        </w:rPr>
        <w:t>E-inclusieplatform</w:t>
      </w:r>
      <w:r>
        <w:t xml:space="preserve">, een netwerk van veertien landelijke en lokale organisaties, waarvan LINC nog steeds deel uitmaakt. In dit platform en de netwerkgroep verbindt LINC  E-inclusie-initiatieven en overheden. </w:t>
      </w:r>
    </w:p>
    <w:p w:rsidR="00B178DA" w:rsidRDefault="00B178DA" w:rsidP="00B178DA">
      <w:pPr>
        <w:jc w:val="both"/>
      </w:pPr>
    </w:p>
    <w:p w:rsidR="00B178DA" w:rsidRDefault="00B178DA" w:rsidP="00B178DA">
      <w:pPr>
        <w:jc w:val="both"/>
      </w:pPr>
    </w:p>
    <w:p w:rsidR="00B178DA" w:rsidRDefault="00B178DA" w:rsidP="00B178DA">
      <w:pPr>
        <w:jc w:val="both"/>
        <w:rPr>
          <w:b/>
          <w:i/>
        </w:rPr>
      </w:pPr>
      <w:r>
        <w:rPr>
          <w:b/>
          <w:i/>
        </w:rPr>
        <w:t>Kenniscentrum Mediawijsheid</w:t>
      </w:r>
    </w:p>
    <w:p w:rsidR="00B178DA" w:rsidRDefault="00B178DA" w:rsidP="00B178DA">
      <w:pPr>
        <w:jc w:val="both"/>
      </w:pPr>
    </w:p>
    <w:p w:rsidR="00B178DA" w:rsidRDefault="00B178DA" w:rsidP="00B178DA">
      <w:pPr>
        <w:jc w:val="both"/>
      </w:pPr>
      <w:r>
        <w:t>In 2013 werd het Vlaamse Kenniscentrum voor Mediawijsheid (Mediawijs.be) opgericht, en LINC was hier van bij de start nauw bij betrokken. LINC sloot aan bij het consortium dat iMinds-Digital Society hiervoor vormde en de opdracht voor dit kenniscentrum kreeg van de minister. Bij de opstart werd één van onze personeelsleden halftijds gedetacheerd en verschillende grote projecten werden opgestart zoals Media4Me (Europees intergenerationeel buurtproject), Mediacoach (nu nog één van onze sterke projecten), Apestaartjaren (referentieonderzoek naar jongeren en media), MO6 (Modelproject in de bibliotheken rond het gebruik van tablets),....</w:t>
      </w:r>
      <w:r>
        <w:br/>
      </w:r>
      <w:r>
        <w:br/>
      </w:r>
    </w:p>
    <w:p w:rsidR="00B178DA" w:rsidRDefault="00B178DA" w:rsidP="00B178DA">
      <w:pPr>
        <w:jc w:val="both"/>
      </w:pPr>
      <w:r>
        <w:rPr>
          <w:b/>
          <w:i/>
        </w:rPr>
        <w:t>Workshops</w:t>
      </w:r>
    </w:p>
    <w:p w:rsidR="00B178DA" w:rsidRDefault="00B178DA" w:rsidP="00B178DA">
      <w:pPr>
        <w:jc w:val="both"/>
      </w:pPr>
      <w:r>
        <w:br/>
        <w:t xml:space="preserve">Tijdens deze periode bouwde link aan een inhoudelijke expertise in e-inclusie en mediawijsheid. Kennis die we dan ook delen met een aanbod op maat voor de doelgroep van </w:t>
      </w:r>
      <w:r>
        <w:lastRenderedPageBreak/>
        <w:t>intermediairen en vrijwilligers van derden. Workshops, studiedagen, bijdrages aan publicaties en trajecten rond deze thema’s:</w:t>
      </w:r>
    </w:p>
    <w:p w:rsidR="00B178DA" w:rsidRDefault="00B178DA" w:rsidP="00B178DA">
      <w:pPr>
        <w:numPr>
          <w:ilvl w:val="0"/>
          <w:numId w:val="7"/>
        </w:numPr>
        <w:jc w:val="both"/>
      </w:pPr>
      <w:r>
        <w:t>E-inclusie</w:t>
      </w:r>
    </w:p>
    <w:p w:rsidR="00B178DA" w:rsidRDefault="00B178DA" w:rsidP="00B178DA">
      <w:pPr>
        <w:numPr>
          <w:ilvl w:val="0"/>
          <w:numId w:val="7"/>
        </w:numPr>
        <w:jc w:val="both"/>
      </w:pPr>
      <w:r>
        <w:t>Digital Storytelling, e-participatie</w:t>
      </w:r>
    </w:p>
    <w:p w:rsidR="00B178DA" w:rsidRDefault="00B178DA" w:rsidP="00B178DA">
      <w:pPr>
        <w:numPr>
          <w:ilvl w:val="0"/>
          <w:numId w:val="7"/>
        </w:numPr>
        <w:jc w:val="both"/>
      </w:pPr>
      <w:r>
        <w:t>Kritische nieuwsgaring, misleidend nieuws</w:t>
      </w:r>
    </w:p>
    <w:p w:rsidR="00B178DA" w:rsidRDefault="00B178DA" w:rsidP="00B178DA">
      <w:pPr>
        <w:numPr>
          <w:ilvl w:val="0"/>
          <w:numId w:val="7"/>
        </w:numPr>
        <w:jc w:val="both"/>
      </w:pPr>
      <w:r>
        <w:t>Privacy</w:t>
      </w:r>
    </w:p>
    <w:p w:rsidR="00B178DA" w:rsidRDefault="00B178DA" w:rsidP="00B178DA">
      <w:pPr>
        <w:numPr>
          <w:ilvl w:val="0"/>
          <w:numId w:val="7"/>
        </w:numPr>
        <w:jc w:val="both"/>
      </w:pPr>
      <w:r>
        <w:t>Digitale balans</w:t>
      </w:r>
    </w:p>
    <w:p w:rsidR="00B178DA" w:rsidRDefault="00B178DA" w:rsidP="00B178DA">
      <w:pPr>
        <w:numPr>
          <w:ilvl w:val="0"/>
          <w:numId w:val="7"/>
        </w:numPr>
        <w:jc w:val="both"/>
      </w:pPr>
      <w:r>
        <w:t>Mediawijs opvoeden</w:t>
      </w:r>
    </w:p>
    <w:p w:rsidR="00B178DA" w:rsidRDefault="00B178DA" w:rsidP="00B178DA">
      <w:pPr>
        <w:jc w:val="both"/>
        <w:rPr>
          <w:i/>
        </w:rPr>
      </w:pPr>
      <w:r>
        <w:t xml:space="preserve"> </w:t>
      </w:r>
    </w:p>
    <w:p w:rsidR="00B178DA" w:rsidRDefault="00B178DA" w:rsidP="00A36DD6">
      <w:pPr>
        <w:pStyle w:val="Kop1"/>
      </w:pPr>
      <w:bookmarkStart w:id="5" w:name="_Toc27671644"/>
      <w:r>
        <w:t>CAMPAGNES</w:t>
      </w:r>
      <w:bookmarkEnd w:id="5"/>
    </w:p>
    <w:p w:rsidR="00B178DA" w:rsidRDefault="00B178DA" w:rsidP="00B178DA">
      <w:pPr>
        <w:jc w:val="both"/>
      </w:pPr>
      <w:r>
        <w:t xml:space="preserve"> </w:t>
      </w:r>
    </w:p>
    <w:p w:rsidR="00B178DA" w:rsidRDefault="00B178DA" w:rsidP="00B178DA">
      <w:pPr>
        <w:jc w:val="both"/>
        <w:rPr>
          <w:b/>
          <w:i/>
        </w:rPr>
      </w:pPr>
      <w:r>
        <w:rPr>
          <w:b/>
          <w:i/>
        </w:rPr>
        <w:t>Van Digitale Week naar Aprilvissers</w:t>
      </w:r>
    </w:p>
    <w:p w:rsidR="00B178DA" w:rsidRDefault="00B178DA" w:rsidP="00B178DA">
      <w:pPr>
        <w:jc w:val="both"/>
      </w:pPr>
    </w:p>
    <w:p w:rsidR="00B178DA" w:rsidRDefault="00B178DA" w:rsidP="00B178DA">
      <w:pPr>
        <w:jc w:val="both"/>
      </w:pPr>
      <w:r>
        <w:t>Sinds 2006 was LINC vzw stichter en coördinator van de grote campagne de Digitale Week waarin tal van organisaties jaarlijks laagdrempelige activiteiten aanboden waarbij het gebruik van multimedia centraal staat. Op die manier werden kwetsbare doelgroepen toegeleid naar het bestaande lokale aanbod. Daarnaast hing er steeds een brede nationale publiekasactie aan de campagne en deden de partners aan beleidsbeïnvloeding met memo’s, publicaties en studiedagen. De dertiende editie in 2018 werd de laatste Digitale Week. Samen met de sterke partners die we in deze campagnes verzameld hebben, stelden we vast dat het initiële doel van de campagne bereikt was. Zowel lokaal, bovenlokaal en nationaal zijn e-inclusie en mediawijsheid actuele thema, het hele jaar rond. Eén week focus vragen, strookte niet meer met het resultaat dat veel krachtiger is: namelijk dat digitaliteit geïntegreerd is in de werking van ons doelpubliek. Voor LINC stopt het hier echter niet. Vanuit de Digitale Week groeide onze intentie om jaarlijks een mediawijs thema in de kijker te blijven zetten. We hebben immers de juiste partners en expertise hiervoor. In 2019 gebeurde dat een eerste keer rond het thema ‘kritische nieuwsgaring en misleidend nieuws’. We claimden 1 april met de campagne  De Aprilvissers. Samen met bijna alle Vlaamse &amp; Brusselse bibliotheken stuurden we die dag een aprilvis de wereld in die diende als clickbait. Mensen die erop klikten kwamen op een sensibiliserende actiepagina met tests, achtergrondinfo en doorverwijzing. Meer dan 20.000 unieke bezoekers kwamen hier op 1 dag terecht en de website wordt nog steeds goed bezocht als platform rond digitaal misleidend nieuws. In 2020 herhalen we deze actie en werken we ook aan kleine prikacties rond online veiligheid en digitale balans.</w:t>
      </w:r>
    </w:p>
    <w:p w:rsidR="00B178DA" w:rsidRDefault="00B178DA" w:rsidP="00B178DA">
      <w:pPr>
        <w:jc w:val="both"/>
      </w:pPr>
    </w:p>
    <w:p w:rsidR="00B178DA" w:rsidRDefault="00B178DA" w:rsidP="00B178DA">
      <w:pPr>
        <w:jc w:val="both"/>
        <w:rPr>
          <w:b/>
          <w:i/>
        </w:rPr>
      </w:pPr>
      <w:r>
        <w:rPr>
          <w:b/>
          <w:i/>
        </w:rPr>
        <w:t>Week van de Geletterdheid</w:t>
      </w:r>
    </w:p>
    <w:p w:rsidR="00B178DA" w:rsidRDefault="00B178DA" w:rsidP="00B178DA">
      <w:pPr>
        <w:jc w:val="both"/>
      </w:pPr>
    </w:p>
    <w:p w:rsidR="00B178DA" w:rsidRDefault="00B178DA" w:rsidP="00B178DA">
      <w:pPr>
        <w:jc w:val="both"/>
        <w:rPr>
          <w:b/>
        </w:rPr>
      </w:pPr>
      <w:r>
        <w:t>LINC stapte al van bij de oprichtinng in 2012 mee in het Strategisch Plan Geletterdheid van de Vlaamse Regering. Naast een brede waaier van operationele doelstellingen en acties opgezet in verschillende beleidsdomeinen waarbij systematisch en structureel aan de verhoging van de geletterdheidscompetenties gewerkt wordt, stapt LINC ook al van bij het begin mee in het campagne-luik van dit plan. We gooien al onze expertise op gebied van campagne in de strijd, met als doel het brede publiek, leraren en politici te informeren en sensibiliseren te activeren rond de brede thema’s van geletterdheid. Zo ontwikkelden we de voorbije jaren in het kader van deze campagne al verschillende educatieve materialen, waaronder een magazine voor mensen in kansarmoede, een herkenningswijzer, een campagnespot, een spel voor klassen…</w:t>
      </w:r>
      <w:r>
        <w:br/>
      </w:r>
      <w:r>
        <w:br/>
      </w:r>
      <w:r>
        <w:lastRenderedPageBreak/>
        <w:t xml:space="preserve">De voorbije jaren kon LINC vzw ook meer haar stempel op deze campagne drukken. Na het automatisme om de voorbije jaren de doelgroepen uit het Plan Geletterdheid als thema te nemen, legde LINC vzw het thema e-inclusie op tafel voor de volgende twee jaar. Wij zijn de uitgewezen partner in deze werkgroep om een breed publieksluik aan deze campagne te breien, wat we vanaf 2020 willen doen. Daarnaast krijgen we ook meer eigenaarschap over deze campagne doordat wij vanaf nu de landingspagina zullen beheren.   </w:t>
      </w:r>
    </w:p>
    <w:p w:rsidR="00B178DA" w:rsidRDefault="00B178DA" w:rsidP="00B178DA">
      <w:pPr>
        <w:jc w:val="both"/>
        <w:rPr>
          <w:b/>
        </w:rPr>
      </w:pPr>
    </w:p>
    <w:p w:rsidR="00B178DA" w:rsidRDefault="00B178DA" w:rsidP="00A36DD6">
      <w:pPr>
        <w:pStyle w:val="Kop1"/>
      </w:pPr>
      <w:bookmarkStart w:id="6" w:name="_Toc27671645"/>
      <w:r>
        <w:t>INFORMATIE-AANBOD</w:t>
      </w:r>
      <w:bookmarkEnd w:id="6"/>
    </w:p>
    <w:p w:rsidR="00B178DA" w:rsidRDefault="00B178DA" w:rsidP="00B178DA">
      <w:pPr>
        <w:jc w:val="both"/>
      </w:pPr>
      <w:r>
        <w:t xml:space="preserve"> </w:t>
      </w:r>
    </w:p>
    <w:p w:rsidR="00B178DA" w:rsidRDefault="00B178DA" w:rsidP="00B178DA">
      <w:pPr>
        <w:jc w:val="both"/>
        <w:rPr>
          <w:b/>
          <w:i/>
        </w:rPr>
      </w:pPr>
      <w:r>
        <w:rPr>
          <w:b/>
          <w:i/>
        </w:rPr>
        <w:t>Websites</w:t>
      </w:r>
    </w:p>
    <w:p w:rsidR="00B178DA" w:rsidRDefault="00B178DA" w:rsidP="00B178DA">
      <w:pPr>
        <w:jc w:val="both"/>
      </w:pPr>
    </w:p>
    <w:p w:rsidR="00B178DA" w:rsidRDefault="00B178DA" w:rsidP="00B178DA">
      <w:pPr>
        <w:ind w:left="720"/>
        <w:jc w:val="both"/>
      </w:pPr>
      <w:r>
        <w:t xml:space="preserve">De </w:t>
      </w:r>
      <w:r>
        <w:rPr>
          <w:b/>
        </w:rPr>
        <w:t>LINC-website</w:t>
      </w:r>
      <w:hyperlink r:id="rId8">
        <w:r>
          <w:rPr>
            <w:b/>
          </w:rPr>
          <w:t xml:space="preserve"> </w:t>
        </w:r>
      </w:hyperlink>
      <w:hyperlink r:id="rId9">
        <w:r>
          <w:rPr>
            <w:b/>
            <w:color w:val="0000FF"/>
            <w:u w:val="single"/>
          </w:rPr>
          <w:t>www.linc-vzw.be</w:t>
        </w:r>
      </w:hyperlink>
      <w:r>
        <w:rPr>
          <w:b/>
        </w:rPr>
        <w:t xml:space="preserve"> </w:t>
      </w:r>
      <w:r>
        <w:t xml:space="preserve">is het portaal naar de projecten, het aanbod en de expertise van LINC vzw. Hier is informatie te vinden over onze campagnes, projecten en vormingen. Hiernaast verzorgt LINC ook de deelwebsites rond Aprilvissers, Week van de Geletterdheid en Pluizer.be. </w:t>
      </w:r>
    </w:p>
    <w:p w:rsidR="00B178DA" w:rsidRDefault="00B178DA" w:rsidP="00B178DA">
      <w:pPr>
        <w:jc w:val="both"/>
      </w:pPr>
    </w:p>
    <w:p w:rsidR="00B178DA" w:rsidRDefault="00B178DA" w:rsidP="00B178DA">
      <w:pPr>
        <w:ind w:firstLine="720"/>
        <w:jc w:val="both"/>
        <w:rPr>
          <w:b/>
        </w:rPr>
      </w:pPr>
      <w:r>
        <w:rPr>
          <w:b/>
        </w:rPr>
        <w:t>Pluizer.be</w:t>
      </w:r>
    </w:p>
    <w:p w:rsidR="00B178DA" w:rsidRDefault="00B178DA" w:rsidP="00B178DA">
      <w:pPr>
        <w:ind w:left="1440" w:hanging="720"/>
        <w:jc w:val="both"/>
      </w:pPr>
      <w:r>
        <w:t xml:space="preserve">Na het stopzetten van het tijdschrift Klapper evolueerde de Pluizerkatern in 2005 naar </w:t>
      </w:r>
    </w:p>
    <w:p w:rsidR="00B178DA" w:rsidRDefault="00B178DA" w:rsidP="00B178DA">
      <w:pPr>
        <w:ind w:left="1440" w:hanging="720"/>
        <w:jc w:val="both"/>
      </w:pPr>
      <w:r>
        <w:t>een online databank van recensies van kinder- en jeugdliteratuur, in 2011 werd dit</w:t>
      </w:r>
    </w:p>
    <w:p w:rsidR="00B178DA" w:rsidRDefault="00B178DA" w:rsidP="00B178DA">
      <w:pPr>
        <w:ind w:left="1440" w:hanging="720"/>
        <w:jc w:val="both"/>
      </w:pPr>
      <w:r>
        <w:t xml:space="preserve">een volwaardige website. Eind 2019 bevat deze databank meer dan 10.000 </w:t>
      </w:r>
    </w:p>
    <w:p w:rsidR="00B178DA" w:rsidRDefault="00B178DA" w:rsidP="00B178DA">
      <w:pPr>
        <w:ind w:left="1440" w:hanging="720"/>
        <w:jc w:val="both"/>
      </w:pPr>
      <w:r>
        <w:t>recensies. Een vijfentwintigtal vrijwilligers schrijft recensies en voert die in in de</w:t>
      </w:r>
    </w:p>
    <w:p w:rsidR="00B178DA" w:rsidRDefault="00B178DA" w:rsidP="00B178DA">
      <w:pPr>
        <w:ind w:left="1440" w:hanging="720"/>
        <w:jc w:val="both"/>
      </w:pPr>
      <w:r>
        <w:t xml:space="preserve">databank. Je kan zoeken per leeftijd en per onderwerp, naar boeken van een </w:t>
      </w:r>
    </w:p>
    <w:p w:rsidR="00B178DA" w:rsidRDefault="00B178DA" w:rsidP="00B178DA">
      <w:pPr>
        <w:ind w:left="1440" w:hanging="720"/>
        <w:jc w:val="both"/>
      </w:pPr>
      <w:r>
        <w:t>bepaalde auteur of illustrator, … Op de homepage wordt regelmatig een ander thema</w:t>
      </w:r>
    </w:p>
    <w:p w:rsidR="00B178DA" w:rsidRDefault="00B178DA" w:rsidP="00B178DA">
      <w:pPr>
        <w:ind w:left="1440" w:hanging="720"/>
        <w:jc w:val="both"/>
      </w:pPr>
      <w:r>
        <w:t>specifiek in de kijker gezet en verschijnen er interviews met Vlaamse en Nederlandse</w:t>
      </w:r>
    </w:p>
    <w:p w:rsidR="00B178DA" w:rsidRDefault="00B178DA" w:rsidP="00B178DA">
      <w:pPr>
        <w:ind w:left="1440" w:hanging="720"/>
        <w:jc w:val="both"/>
      </w:pPr>
      <w:r>
        <w:t>auteurs en illustratoren. De vrijwilligers van Pluizer komen tien keer per jaar bij elkaar</w:t>
      </w:r>
    </w:p>
    <w:p w:rsidR="00B178DA" w:rsidRDefault="00B178DA" w:rsidP="00B178DA">
      <w:pPr>
        <w:ind w:left="1440" w:hanging="720"/>
        <w:jc w:val="both"/>
      </w:pPr>
      <w:r>
        <w:t>in drie leesgroepen om hun leeservaringen uit te wisselen</w:t>
      </w:r>
    </w:p>
    <w:p w:rsidR="00B178DA" w:rsidRDefault="00B178DA" w:rsidP="00B178DA">
      <w:pPr>
        <w:ind w:left="1440" w:hanging="720"/>
        <w:jc w:val="both"/>
      </w:pPr>
      <w:r>
        <w:t>Daarnaast krijgen zij alle nodige begeleiding van onze medewerkers en nodigen we</w:t>
      </w:r>
    </w:p>
    <w:p w:rsidR="00B178DA" w:rsidRDefault="00B178DA" w:rsidP="00B178DA">
      <w:pPr>
        <w:ind w:left="1440" w:hanging="720"/>
        <w:jc w:val="both"/>
      </w:pPr>
      <w:r>
        <w:t>hen één keer per jaar uit op eenvrijwilligersdag.</w:t>
      </w:r>
    </w:p>
    <w:p w:rsidR="00B178DA" w:rsidRDefault="00B178DA" w:rsidP="00B178DA">
      <w:pPr>
        <w:jc w:val="both"/>
      </w:pPr>
      <w:r>
        <w:t xml:space="preserve"> </w:t>
      </w:r>
    </w:p>
    <w:p w:rsidR="00B178DA" w:rsidRDefault="00B178DA" w:rsidP="00B178DA">
      <w:pPr>
        <w:ind w:firstLine="720"/>
        <w:jc w:val="both"/>
        <w:rPr>
          <w:b/>
        </w:rPr>
      </w:pPr>
      <w:r>
        <w:rPr>
          <w:b/>
        </w:rPr>
        <w:t>Aprilvissers.be</w:t>
      </w:r>
    </w:p>
    <w:p w:rsidR="00B178DA" w:rsidRDefault="00B178DA" w:rsidP="00B178DA">
      <w:pPr>
        <w:ind w:left="1440" w:hanging="720"/>
        <w:jc w:val="both"/>
      </w:pPr>
      <w:r>
        <w:t>Onze landingswebsite rond misleidende informatie op het internet. Deze pagina werd</w:t>
      </w:r>
    </w:p>
    <w:p w:rsidR="00B178DA" w:rsidRDefault="00B178DA" w:rsidP="00B178DA">
      <w:pPr>
        <w:ind w:left="1440" w:hanging="720"/>
        <w:jc w:val="both"/>
      </w:pPr>
      <w:r>
        <w:t xml:space="preserve">gelanceerd op 1 april 2019 tijdens de Aprilvissers en kreeg op die dag iets meer dan </w:t>
      </w:r>
    </w:p>
    <w:p w:rsidR="00B178DA" w:rsidRDefault="00B178DA" w:rsidP="00B178DA">
      <w:pPr>
        <w:ind w:left="1440" w:hanging="720"/>
        <w:jc w:val="both"/>
      </w:pPr>
      <w:r>
        <w:t>20.000 unieke bezoekers. De landingspagina wordt nog steeds gebruikt als platform</w:t>
      </w:r>
    </w:p>
    <w:p w:rsidR="00B178DA" w:rsidRDefault="00B178DA" w:rsidP="00B178DA">
      <w:pPr>
        <w:ind w:left="1440" w:hanging="720"/>
        <w:jc w:val="both"/>
      </w:pPr>
      <w:r>
        <w:t>voor informatie, achtergrond en doorverwijzing rond Fake News.</w:t>
      </w:r>
    </w:p>
    <w:p w:rsidR="00B178DA" w:rsidRDefault="00B178DA" w:rsidP="00B178DA">
      <w:pPr>
        <w:jc w:val="both"/>
      </w:pPr>
    </w:p>
    <w:p w:rsidR="00B178DA" w:rsidRDefault="00B178DA" w:rsidP="00B178DA">
      <w:pPr>
        <w:ind w:left="720"/>
        <w:jc w:val="both"/>
      </w:pPr>
      <w:r>
        <w:rPr>
          <w:b/>
        </w:rPr>
        <w:t>Weekvandegeletterdheid.be</w:t>
      </w:r>
      <w:r>
        <w:rPr>
          <w:b/>
        </w:rPr>
        <w:br/>
      </w:r>
      <w:r>
        <w:t>Komt vanaf 2020 in beheer van LINC. Hier verzamelen we alle educatieve tools die de voorbije jaren samen met de partners vanuit het Plan Geletterdheid ontwikkeld werden en voeren we onze jaarlijkse campagne rond de internationale dag van de Geletterdheid op 8 september.</w:t>
      </w:r>
    </w:p>
    <w:p w:rsidR="00B178DA" w:rsidRDefault="00B178DA" w:rsidP="00B178DA">
      <w:pPr>
        <w:jc w:val="both"/>
      </w:pPr>
      <w:r>
        <w:t xml:space="preserve"> </w:t>
      </w:r>
    </w:p>
    <w:p w:rsidR="00B178DA" w:rsidRDefault="00B178DA" w:rsidP="00B178DA">
      <w:pPr>
        <w:jc w:val="both"/>
        <w:rPr>
          <w:b/>
          <w:i/>
        </w:rPr>
      </w:pPr>
      <w:r>
        <w:rPr>
          <w:b/>
          <w:i/>
        </w:rPr>
        <w:t>Voorleespakketjes</w:t>
      </w:r>
    </w:p>
    <w:p w:rsidR="00B178DA" w:rsidRDefault="00B178DA" w:rsidP="00B178DA">
      <w:pPr>
        <w:jc w:val="both"/>
      </w:pPr>
      <w:r>
        <w:t xml:space="preserve">Voorleesvrijwilligers, animatoren en ergotherapeuten van woon- en zorgcentra, bibliotheekmedewerkers en andere geïnteresseerden kunnen zich abonneren op de voorleespakketjes voor ouderen. Rond een bepaald thema (afscheid nemen, moederdag, </w:t>
      </w:r>
      <w:r>
        <w:lastRenderedPageBreak/>
        <w:t>kermis,...) of een bepaalde auteur (Toon Hermans,  Roald Dahl,...) krijgen ze tekst-, beeld- en geluidsfragmenten aangereikt waarmee ze een voorleessessie van een uur kunnen stofferen.</w:t>
      </w:r>
    </w:p>
    <w:p w:rsidR="00B178DA" w:rsidRDefault="00B178DA" w:rsidP="00B178DA">
      <w:pPr>
        <w:jc w:val="both"/>
      </w:pPr>
    </w:p>
    <w:p w:rsidR="00B178DA" w:rsidRDefault="00B178DA" w:rsidP="00B178DA">
      <w:pPr>
        <w:jc w:val="both"/>
        <w:rPr>
          <w:b/>
          <w:i/>
        </w:rPr>
      </w:pPr>
      <w:r>
        <w:rPr>
          <w:b/>
          <w:i/>
        </w:rPr>
        <w:t>MOOC</w:t>
      </w:r>
    </w:p>
    <w:p w:rsidR="00B178DA" w:rsidRDefault="00B178DA" w:rsidP="00B178DA">
      <w:pPr>
        <w:jc w:val="both"/>
      </w:pPr>
      <w:r>
        <w:t>In samenwerking met Mediawijs.be realiseerde we in 2015 de MOOC Mediacoach, het online luik van de opleiding Mediacoach met allerlei interessante filmpjes waarbij experten aan het woord komen rond het thema mediawijsheid. Deze MOOC is eveneens toegankelijk voor al wie meer inzichten wil verwerven in dit thema. Men kan op die manier een Mediacoach ‘light’ volgen.</w:t>
      </w:r>
    </w:p>
    <w:p w:rsidR="00B178DA" w:rsidRDefault="00B178DA" w:rsidP="00B178DA">
      <w:pPr>
        <w:jc w:val="both"/>
        <w:rPr>
          <w:highlight w:val="green"/>
        </w:rPr>
      </w:pPr>
    </w:p>
    <w:p w:rsidR="00B178DA" w:rsidRDefault="00B178DA" w:rsidP="00B178DA">
      <w:pPr>
        <w:jc w:val="both"/>
        <w:rPr>
          <w:highlight w:val="green"/>
        </w:rPr>
      </w:pPr>
    </w:p>
    <w:p w:rsidR="00B178DA" w:rsidRDefault="00B178DA" w:rsidP="00B178DA">
      <w:pPr>
        <w:jc w:val="both"/>
      </w:pPr>
      <w:r>
        <w:rPr>
          <w:b/>
          <w:i/>
        </w:rPr>
        <w:t>Andere websites, sociale media kanalen, materialen en publicaties</w:t>
      </w:r>
    </w:p>
    <w:p w:rsidR="00B178DA" w:rsidRDefault="00B178DA" w:rsidP="00B178DA">
      <w:pPr>
        <w:numPr>
          <w:ilvl w:val="0"/>
          <w:numId w:val="6"/>
        </w:numPr>
        <w:jc w:val="both"/>
      </w:pPr>
      <w:r>
        <w:t>Website E-inclusieplatform met een memorandum voor de Vlaamse regering met betrekking tot de uitdagingen rond e-inclusie</w:t>
      </w:r>
    </w:p>
    <w:p w:rsidR="00B178DA" w:rsidRDefault="00B178DA" w:rsidP="00B178DA">
      <w:pPr>
        <w:numPr>
          <w:ilvl w:val="0"/>
          <w:numId w:val="6"/>
        </w:numPr>
        <w:jc w:val="both"/>
      </w:pPr>
      <w:r>
        <w:t>Inspiratiepakketjes in functie van de thema’s van de Digitale Week, zoals mediaopvoeding, privacy, …</w:t>
      </w:r>
    </w:p>
    <w:p w:rsidR="00B178DA" w:rsidRDefault="00B178DA" w:rsidP="00B178DA">
      <w:pPr>
        <w:numPr>
          <w:ilvl w:val="0"/>
          <w:numId w:val="6"/>
        </w:numPr>
        <w:jc w:val="both"/>
      </w:pPr>
      <w:r>
        <w:t>Facebookpagina’s LINC, Pluizer en Digitale Week</w:t>
      </w:r>
    </w:p>
    <w:p w:rsidR="00B178DA" w:rsidRDefault="00B178DA" w:rsidP="00B178DA">
      <w:pPr>
        <w:numPr>
          <w:ilvl w:val="0"/>
          <w:numId w:val="6"/>
        </w:numPr>
        <w:jc w:val="both"/>
      </w:pPr>
      <w:r>
        <w:t>Facebookgroep Mediacoach community</w:t>
      </w:r>
    </w:p>
    <w:p w:rsidR="00B178DA" w:rsidRDefault="00B178DA" w:rsidP="00B178DA">
      <w:pPr>
        <w:jc w:val="both"/>
        <w:rPr>
          <w:color w:val="FF0000"/>
        </w:rPr>
      </w:pPr>
    </w:p>
    <w:p w:rsidR="00B178DA" w:rsidRDefault="00B178DA" w:rsidP="00B178DA">
      <w:pPr>
        <w:jc w:val="both"/>
      </w:pPr>
      <w:r>
        <w:t xml:space="preserve"> </w:t>
      </w:r>
    </w:p>
    <w:p w:rsidR="00B178DA" w:rsidRDefault="00B178DA" w:rsidP="00A36DD6">
      <w:pPr>
        <w:pStyle w:val="Kop1"/>
      </w:pPr>
      <w:r>
        <w:t xml:space="preserve"> </w:t>
      </w:r>
      <w:bookmarkStart w:id="7" w:name="_Toc27671646"/>
      <w:r>
        <w:t>SAMENWERKINGSVERBANDEN</w:t>
      </w:r>
      <w:bookmarkEnd w:id="7"/>
    </w:p>
    <w:p w:rsidR="00B178DA" w:rsidRDefault="00B178DA" w:rsidP="00B178DA">
      <w:pPr>
        <w:jc w:val="both"/>
        <w:rPr>
          <w:b/>
          <w:highlight w:val="green"/>
        </w:rPr>
      </w:pPr>
    </w:p>
    <w:p w:rsidR="00B178DA" w:rsidRDefault="00B178DA" w:rsidP="00B178DA">
      <w:pPr>
        <w:jc w:val="both"/>
      </w:pPr>
      <w:r>
        <w:t>Om onze acties en campagnes gestalte te geven heeft LINC met talrijke partners samengewerkt. We beperken ons tot een kort overzicht:</w:t>
      </w:r>
    </w:p>
    <w:p w:rsidR="00B178DA" w:rsidRDefault="00B178DA" w:rsidP="00B178DA">
      <w:pPr>
        <w:jc w:val="both"/>
      </w:pPr>
      <w:r>
        <w:t xml:space="preserve"> </w:t>
      </w:r>
    </w:p>
    <w:p w:rsidR="00B178DA" w:rsidRDefault="00B178DA" w:rsidP="00B178DA">
      <w:pPr>
        <w:jc w:val="both"/>
      </w:pPr>
      <w:r>
        <w:t>Algemeen:</w:t>
      </w:r>
    </w:p>
    <w:p w:rsidR="00B178DA" w:rsidRDefault="00B178DA" w:rsidP="00B178DA">
      <w:pPr>
        <w:numPr>
          <w:ilvl w:val="0"/>
          <w:numId w:val="8"/>
        </w:numPr>
        <w:jc w:val="both"/>
      </w:pPr>
      <w:r>
        <w:t>Mediawijs</w:t>
      </w:r>
    </w:p>
    <w:p w:rsidR="00B178DA" w:rsidRDefault="00B178DA" w:rsidP="00B178DA">
      <w:pPr>
        <w:numPr>
          <w:ilvl w:val="0"/>
          <w:numId w:val="5"/>
        </w:numPr>
        <w:jc w:val="both"/>
      </w:pPr>
      <w:r>
        <w:t>Cultuurconnect</w:t>
      </w:r>
    </w:p>
    <w:p w:rsidR="00B178DA" w:rsidRDefault="00B178DA" w:rsidP="00B178DA">
      <w:pPr>
        <w:numPr>
          <w:ilvl w:val="0"/>
          <w:numId w:val="5"/>
        </w:numPr>
        <w:jc w:val="both"/>
      </w:pPr>
      <w:r>
        <w:t>De Federatie</w:t>
      </w:r>
    </w:p>
    <w:p w:rsidR="00B178DA" w:rsidRDefault="00B178DA" w:rsidP="00B178DA">
      <w:pPr>
        <w:numPr>
          <w:ilvl w:val="0"/>
          <w:numId w:val="5"/>
        </w:numPr>
        <w:jc w:val="both"/>
      </w:pPr>
      <w:r>
        <w:t>Socius</w:t>
      </w:r>
    </w:p>
    <w:p w:rsidR="00B178DA" w:rsidRDefault="00B178DA" w:rsidP="00B178DA">
      <w:pPr>
        <w:numPr>
          <w:ilvl w:val="0"/>
          <w:numId w:val="5"/>
        </w:numPr>
        <w:jc w:val="both"/>
      </w:pPr>
      <w:r>
        <w:t>Sociare</w:t>
      </w:r>
    </w:p>
    <w:p w:rsidR="00B178DA" w:rsidRDefault="00B178DA" w:rsidP="00B178DA">
      <w:pPr>
        <w:numPr>
          <w:ilvl w:val="0"/>
          <w:numId w:val="5"/>
        </w:numPr>
        <w:jc w:val="both"/>
      </w:pPr>
      <w:r>
        <w:t>Strategische Plan Geletterdheid Verhogen (VOCVO / Departement Onderwijs / CBE)</w:t>
      </w:r>
    </w:p>
    <w:p w:rsidR="00B178DA" w:rsidRDefault="00B178DA" w:rsidP="00B178DA">
      <w:pPr>
        <w:jc w:val="both"/>
      </w:pPr>
      <w:r>
        <w:t xml:space="preserve"> </w:t>
      </w:r>
    </w:p>
    <w:p w:rsidR="00B178DA" w:rsidRDefault="00B178DA" w:rsidP="00B178DA">
      <w:pPr>
        <w:jc w:val="both"/>
      </w:pPr>
      <w:r>
        <w:t>Leespromotie:</w:t>
      </w:r>
    </w:p>
    <w:p w:rsidR="00B178DA" w:rsidRDefault="00B178DA" w:rsidP="00B178DA">
      <w:pPr>
        <w:numPr>
          <w:ilvl w:val="0"/>
          <w:numId w:val="9"/>
        </w:numPr>
        <w:jc w:val="both"/>
      </w:pPr>
      <w:r>
        <w:t>Iedereen Leest</w:t>
      </w:r>
    </w:p>
    <w:p w:rsidR="00B178DA" w:rsidRDefault="00B178DA" w:rsidP="00B178DA">
      <w:pPr>
        <w:numPr>
          <w:ilvl w:val="0"/>
          <w:numId w:val="9"/>
        </w:numPr>
        <w:jc w:val="both"/>
      </w:pPr>
      <w:r>
        <w:t>Gezinsbond</w:t>
      </w:r>
    </w:p>
    <w:p w:rsidR="00B178DA" w:rsidRDefault="00B178DA" w:rsidP="00B178DA">
      <w:pPr>
        <w:numPr>
          <w:ilvl w:val="0"/>
          <w:numId w:val="9"/>
        </w:numPr>
        <w:jc w:val="both"/>
      </w:pPr>
      <w:r>
        <w:t>Provincie Vlaams-Brabant</w:t>
      </w:r>
    </w:p>
    <w:p w:rsidR="00B178DA" w:rsidRDefault="00B178DA" w:rsidP="00B178DA">
      <w:pPr>
        <w:numPr>
          <w:ilvl w:val="0"/>
          <w:numId w:val="9"/>
        </w:numPr>
        <w:jc w:val="both"/>
      </w:pPr>
      <w:r>
        <w:t>SBB Vlaams-Brabant</w:t>
      </w:r>
    </w:p>
    <w:p w:rsidR="00B178DA" w:rsidRDefault="00B178DA" w:rsidP="00B178DA">
      <w:pPr>
        <w:numPr>
          <w:ilvl w:val="0"/>
          <w:numId w:val="9"/>
        </w:numPr>
        <w:jc w:val="both"/>
      </w:pPr>
      <w:r>
        <w:t>VVBAD</w:t>
      </w:r>
    </w:p>
    <w:p w:rsidR="00B178DA" w:rsidRDefault="00B178DA" w:rsidP="00B178DA">
      <w:pPr>
        <w:numPr>
          <w:ilvl w:val="0"/>
          <w:numId w:val="9"/>
        </w:numPr>
        <w:jc w:val="both"/>
      </w:pPr>
      <w:r>
        <w:t>Canon Cultuurcel</w:t>
      </w:r>
    </w:p>
    <w:p w:rsidR="00B178DA" w:rsidRDefault="00B178DA" w:rsidP="00B178DA">
      <w:pPr>
        <w:numPr>
          <w:ilvl w:val="0"/>
          <w:numId w:val="9"/>
        </w:numPr>
        <w:jc w:val="both"/>
      </w:pPr>
      <w:r>
        <w:t>Huawei</w:t>
      </w:r>
    </w:p>
    <w:p w:rsidR="00B178DA" w:rsidRDefault="00B178DA" w:rsidP="00B178DA">
      <w:pPr>
        <w:numPr>
          <w:ilvl w:val="0"/>
          <w:numId w:val="9"/>
        </w:numPr>
        <w:jc w:val="both"/>
      </w:pPr>
      <w:r>
        <w:t>Brailleliga</w:t>
      </w:r>
    </w:p>
    <w:p w:rsidR="00B178DA" w:rsidRDefault="00B178DA" w:rsidP="00B178DA">
      <w:pPr>
        <w:numPr>
          <w:ilvl w:val="0"/>
          <w:numId w:val="9"/>
        </w:numPr>
        <w:jc w:val="both"/>
      </w:pPr>
      <w:r>
        <w:t>Odisee Hogeschool</w:t>
      </w:r>
    </w:p>
    <w:p w:rsidR="00B178DA" w:rsidRDefault="00B178DA" w:rsidP="00B178DA">
      <w:pPr>
        <w:jc w:val="both"/>
      </w:pPr>
      <w:r>
        <w:t xml:space="preserve"> </w:t>
      </w:r>
    </w:p>
    <w:p w:rsidR="00B178DA" w:rsidRDefault="00B178DA" w:rsidP="00B178DA">
      <w:pPr>
        <w:jc w:val="both"/>
      </w:pPr>
      <w:r>
        <w:t>E-inclusie en mediawijsheid:</w:t>
      </w:r>
    </w:p>
    <w:p w:rsidR="00B178DA" w:rsidRDefault="00B178DA" w:rsidP="00B178DA">
      <w:pPr>
        <w:numPr>
          <w:ilvl w:val="0"/>
          <w:numId w:val="10"/>
        </w:numPr>
        <w:jc w:val="both"/>
      </w:pPr>
      <w:r>
        <w:t>Digidak Kempen</w:t>
      </w:r>
    </w:p>
    <w:p w:rsidR="00B178DA" w:rsidRDefault="00B178DA" w:rsidP="00B178DA">
      <w:pPr>
        <w:numPr>
          <w:ilvl w:val="0"/>
          <w:numId w:val="10"/>
        </w:numPr>
        <w:jc w:val="both"/>
      </w:pPr>
      <w:r>
        <w:lastRenderedPageBreak/>
        <w:t>Media Animation</w:t>
      </w:r>
    </w:p>
    <w:p w:rsidR="00B178DA" w:rsidRDefault="00B178DA" w:rsidP="00B178DA">
      <w:pPr>
        <w:numPr>
          <w:ilvl w:val="0"/>
          <w:numId w:val="10"/>
        </w:numPr>
        <w:jc w:val="both"/>
      </w:pPr>
      <w:r>
        <w:t>VOCVO</w:t>
      </w:r>
    </w:p>
    <w:p w:rsidR="00B178DA" w:rsidRDefault="00B178DA" w:rsidP="00B178DA">
      <w:pPr>
        <w:numPr>
          <w:ilvl w:val="0"/>
          <w:numId w:val="10"/>
        </w:numPr>
        <w:jc w:val="both"/>
      </w:pPr>
      <w:r>
        <w:t>Mediaraven</w:t>
      </w:r>
    </w:p>
    <w:p w:rsidR="00B178DA" w:rsidRDefault="00B178DA" w:rsidP="00B178DA">
      <w:pPr>
        <w:numPr>
          <w:ilvl w:val="0"/>
          <w:numId w:val="10"/>
        </w:numPr>
        <w:jc w:val="both"/>
      </w:pPr>
      <w:r>
        <w:t>UCLL</w:t>
      </w:r>
    </w:p>
    <w:p w:rsidR="00B178DA" w:rsidRDefault="00B178DA" w:rsidP="00B178DA">
      <w:pPr>
        <w:numPr>
          <w:ilvl w:val="0"/>
          <w:numId w:val="10"/>
        </w:numPr>
        <w:jc w:val="both"/>
      </w:pPr>
      <w:r>
        <w:t>IMEC</w:t>
      </w:r>
    </w:p>
    <w:p w:rsidR="00B178DA" w:rsidRDefault="00B178DA" w:rsidP="00B178DA">
      <w:pPr>
        <w:numPr>
          <w:ilvl w:val="0"/>
          <w:numId w:val="10"/>
        </w:numPr>
        <w:jc w:val="both"/>
      </w:pPr>
      <w:r>
        <w:t>VVSG</w:t>
      </w:r>
    </w:p>
    <w:p w:rsidR="00B178DA" w:rsidRDefault="00B178DA" w:rsidP="00B178DA"/>
    <w:p w:rsidR="00B178DA" w:rsidRDefault="00B178DA" w:rsidP="00B178DA"/>
    <w:p w:rsidR="00352967" w:rsidRDefault="00352967"/>
    <w:sectPr w:rsidR="00352967">
      <w:footerReference w:type="default" r:id="rId10"/>
      <w:pgSz w:w="11906" w:h="16838"/>
      <w:pgMar w:top="1417" w:right="1417" w:bottom="0"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05" w:rsidRDefault="00183C05" w:rsidP="00A36DD6">
      <w:pPr>
        <w:spacing w:line="240" w:lineRule="auto"/>
      </w:pPr>
      <w:r>
        <w:separator/>
      </w:r>
    </w:p>
  </w:endnote>
  <w:endnote w:type="continuationSeparator" w:id="0">
    <w:p w:rsidR="00183C05" w:rsidRDefault="00183C05" w:rsidP="00A36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166238"/>
      <w:docPartObj>
        <w:docPartGallery w:val="Page Numbers (Bottom of Page)"/>
        <w:docPartUnique/>
      </w:docPartObj>
    </w:sdtPr>
    <w:sdtEndPr/>
    <w:sdtContent>
      <w:sdt>
        <w:sdtPr>
          <w:id w:val="-1769616900"/>
          <w:docPartObj>
            <w:docPartGallery w:val="Page Numbers (Top of Page)"/>
            <w:docPartUnique/>
          </w:docPartObj>
        </w:sdtPr>
        <w:sdtEndPr/>
        <w:sdtContent>
          <w:p w:rsidR="00A36DD6" w:rsidRDefault="00A36DD6">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A93852">
              <w:rPr>
                <w:b/>
                <w:bCs/>
                <w:noProof/>
              </w:rPr>
              <w:t>9</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A93852">
              <w:rPr>
                <w:b/>
                <w:bCs/>
                <w:noProof/>
              </w:rPr>
              <w:t>9</w:t>
            </w:r>
            <w:r>
              <w:rPr>
                <w:b/>
                <w:bCs/>
                <w:sz w:val="24"/>
                <w:szCs w:val="24"/>
              </w:rPr>
              <w:fldChar w:fldCharType="end"/>
            </w:r>
          </w:p>
        </w:sdtContent>
      </w:sdt>
    </w:sdtContent>
  </w:sdt>
  <w:p w:rsidR="00A36DD6" w:rsidRDefault="00A36DD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05" w:rsidRDefault="00183C05" w:rsidP="00A36DD6">
      <w:pPr>
        <w:spacing w:line="240" w:lineRule="auto"/>
      </w:pPr>
      <w:r>
        <w:separator/>
      </w:r>
    </w:p>
  </w:footnote>
  <w:footnote w:type="continuationSeparator" w:id="0">
    <w:p w:rsidR="00183C05" w:rsidRDefault="00183C05" w:rsidP="00A36D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0D8"/>
    <w:multiLevelType w:val="multilevel"/>
    <w:tmpl w:val="99BC4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47DEB"/>
    <w:multiLevelType w:val="multilevel"/>
    <w:tmpl w:val="E69A4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F721E2"/>
    <w:multiLevelType w:val="hybridMultilevel"/>
    <w:tmpl w:val="7C3C7A82"/>
    <w:lvl w:ilvl="0" w:tplc="D79AD120">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1422D2"/>
    <w:multiLevelType w:val="multilevel"/>
    <w:tmpl w:val="1ED0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9E468E"/>
    <w:multiLevelType w:val="multilevel"/>
    <w:tmpl w:val="C9CAD0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813E06"/>
    <w:multiLevelType w:val="multilevel"/>
    <w:tmpl w:val="76702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B3FF5"/>
    <w:multiLevelType w:val="multilevel"/>
    <w:tmpl w:val="D7BE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CA6098"/>
    <w:multiLevelType w:val="multilevel"/>
    <w:tmpl w:val="CFBCF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FF3A33"/>
    <w:multiLevelType w:val="hybridMultilevel"/>
    <w:tmpl w:val="7A2683B8"/>
    <w:lvl w:ilvl="0" w:tplc="BC96457A">
      <w:start w:val="1"/>
      <w:numFmt w:val="decimal"/>
      <w:pStyle w:val="Kop2"/>
      <w:lvlText w:val="%1.2"/>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A4651F"/>
    <w:multiLevelType w:val="multilevel"/>
    <w:tmpl w:val="4F90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A51478"/>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0"/>
  </w:num>
  <w:num w:numId="3">
    <w:abstractNumId w:val="2"/>
  </w:num>
  <w:num w:numId="4">
    <w:abstractNumId w:val="8"/>
  </w:num>
  <w:num w:numId="5">
    <w:abstractNumId w:val="6"/>
  </w:num>
  <w:num w:numId="6">
    <w:abstractNumId w:val="0"/>
  </w:num>
  <w:num w:numId="7">
    <w:abstractNumId w:val="7"/>
  </w:num>
  <w:num w:numId="8">
    <w:abstractNumId w:val="3"/>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DA"/>
    <w:rsid w:val="00183C05"/>
    <w:rsid w:val="00227AB1"/>
    <w:rsid w:val="00352967"/>
    <w:rsid w:val="00474988"/>
    <w:rsid w:val="004D2A64"/>
    <w:rsid w:val="007E504A"/>
    <w:rsid w:val="009759B9"/>
    <w:rsid w:val="00A36DD6"/>
    <w:rsid w:val="00A93852"/>
    <w:rsid w:val="00B178DA"/>
    <w:rsid w:val="00EE7139"/>
    <w:rsid w:val="00FD1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7F54"/>
  <w15:chartTrackingRefBased/>
  <w15:docId w15:val="{CC5CA144-BB86-4CE8-AE7D-6BCFD760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178DA"/>
    <w:pPr>
      <w:spacing w:after="0" w:line="276" w:lineRule="auto"/>
    </w:pPr>
    <w:rPr>
      <w:rFonts w:ascii="Arial" w:eastAsia="Arial" w:hAnsi="Arial" w:cs="Arial"/>
      <w:lang w:val="nl" w:eastAsia="nl-NL"/>
    </w:rPr>
  </w:style>
  <w:style w:type="paragraph" w:styleId="Kop1">
    <w:name w:val="heading 1"/>
    <w:basedOn w:val="Standaard"/>
    <w:next w:val="Standaard"/>
    <w:link w:val="Kop1Char"/>
    <w:autoRedefine/>
    <w:qFormat/>
    <w:rsid w:val="00227AB1"/>
    <w:pPr>
      <w:keepNext/>
      <w:keepLines/>
      <w:numPr>
        <w:numId w:val="3"/>
      </w:numPr>
      <w:spacing w:before="480" w:after="120"/>
      <w:outlineLvl w:val="0"/>
    </w:pPr>
    <w:rPr>
      <w:rFonts w:eastAsia="Calibri" w:cs="Calibri"/>
      <w:b/>
      <w:sz w:val="24"/>
      <w:szCs w:val="48"/>
    </w:rPr>
  </w:style>
  <w:style w:type="paragraph" w:styleId="Kop2">
    <w:name w:val="heading 2"/>
    <w:basedOn w:val="Standaard"/>
    <w:next w:val="Standaard"/>
    <w:link w:val="Kop2Char"/>
    <w:autoRedefine/>
    <w:qFormat/>
    <w:rsid w:val="00227AB1"/>
    <w:pPr>
      <w:keepNext/>
      <w:keepLines/>
      <w:numPr>
        <w:numId w:val="4"/>
      </w:numPr>
      <w:spacing w:before="360" w:after="80"/>
      <w:outlineLvl w:val="1"/>
    </w:pPr>
    <w:rPr>
      <w:rFonts w:eastAsia="Calibri" w:cs="Calibri"/>
      <w:b/>
      <w:sz w:val="24"/>
      <w:szCs w:val="36"/>
    </w:rPr>
  </w:style>
  <w:style w:type="paragraph" w:styleId="Kop3">
    <w:name w:val="heading 3"/>
    <w:basedOn w:val="Standaard"/>
    <w:next w:val="Standaard"/>
    <w:link w:val="Kop3Char"/>
    <w:autoRedefine/>
    <w:qFormat/>
    <w:rsid w:val="007E504A"/>
    <w:pPr>
      <w:keepNext/>
      <w:keepLines/>
      <w:numPr>
        <w:ilvl w:val="2"/>
        <w:numId w:val="2"/>
      </w:numPr>
      <w:spacing w:before="40"/>
      <w:outlineLvl w:val="2"/>
    </w:pPr>
    <w:rPr>
      <w:rFonts w:eastAsia="Calibri" w:cs="Calibri"/>
      <w:color w:val="1E4D78"/>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27AB1"/>
    <w:rPr>
      <w:rFonts w:ascii="Arial" w:eastAsia="Calibri" w:hAnsi="Arial" w:cs="Calibri"/>
      <w:b/>
      <w:sz w:val="24"/>
      <w:szCs w:val="36"/>
      <w:lang w:eastAsia="nl-NL"/>
    </w:rPr>
  </w:style>
  <w:style w:type="character" w:customStyle="1" w:styleId="Kop3Char">
    <w:name w:val="Kop 3 Char"/>
    <w:basedOn w:val="Standaardalinea-lettertype"/>
    <w:link w:val="Kop3"/>
    <w:rsid w:val="007E504A"/>
    <w:rPr>
      <w:rFonts w:ascii="Arial" w:eastAsia="Calibri" w:hAnsi="Arial" w:cs="Calibri"/>
      <w:color w:val="1E4D78"/>
      <w:sz w:val="24"/>
      <w:szCs w:val="24"/>
      <w:lang w:val="nl-BE" w:eastAsia="nl-NL"/>
    </w:rPr>
  </w:style>
  <w:style w:type="character" w:customStyle="1" w:styleId="Kop1Char">
    <w:name w:val="Kop 1 Char"/>
    <w:basedOn w:val="Standaardalinea-lettertype"/>
    <w:link w:val="Kop1"/>
    <w:rsid w:val="00227AB1"/>
    <w:rPr>
      <w:rFonts w:ascii="Arial" w:eastAsia="Calibri" w:hAnsi="Arial" w:cs="Calibri"/>
      <w:b/>
      <w:sz w:val="24"/>
      <w:szCs w:val="48"/>
      <w:lang w:eastAsia="nl-NL"/>
    </w:rPr>
  </w:style>
  <w:style w:type="paragraph" w:styleId="Kopvaninhoudsopgave">
    <w:name w:val="TOC Heading"/>
    <w:basedOn w:val="Kop1"/>
    <w:next w:val="Standaard"/>
    <w:uiPriority w:val="39"/>
    <w:unhideWhenUsed/>
    <w:qFormat/>
    <w:rsid w:val="00A36DD6"/>
    <w:pPr>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nl-NL"/>
    </w:rPr>
  </w:style>
  <w:style w:type="paragraph" w:styleId="Koptekst">
    <w:name w:val="header"/>
    <w:basedOn w:val="Standaard"/>
    <w:link w:val="KoptekstChar"/>
    <w:uiPriority w:val="99"/>
    <w:unhideWhenUsed/>
    <w:rsid w:val="00A36DD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36DD6"/>
    <w:rPr>
      <w:rFonts w:ascii="Arial" w:eastAsia="Arial" w:hAnsi="Arial" w:cs="Arial"/>
      <w:lang w:val="nl" w:eastAsia="nl-NL"/>
    </w:rPr>
  </w:style>
  <w:style w:type="paragraph" w:styleId="Voettekst">
    <w:name w:val="footer"/>
    <w:basedOn w:val="Standaard"/>
    <w:link w:val="VoettekstChar"/>
    <w:uiPriority w:val="99"/>
    <w:unhideWhenUsed/>
    <w:rsid w:val="00A36DD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36DD6"/>
    <w:rPr>
      <w:rFonts w:ascii="Arial" w:eastAsia="Arial" w:hAnsi="Arial" w:cs="Arial"/>
      <w:lang w:val="nl" w:eastAsia="nl-NL"/>
    </w:rPr>
  </w:style>
  <w:style w:type="paragraph" w:styleId="Inhopg1">
    <w:name w:val="toc 1"/>
    <w:basedOn w:val="Standaard"/>
    <w:next w:val="Standaard"/>
    <w:autoRedefine/>
    <w:uiPriority w:val="39"/>
    <w:unhideWhenUsed/>
    <w:rsid w:val="00EE7139"/>
    <w:pPr>
      <w:spacing w:after="100"/>
    </w:pPr>
  </w:style>
  <w:style w:type="character" w:styleId="Hyperlink">
    <w:name w:val="Hyperlink"/>
    <w:basedOn w:val="Standaardalinea-lettertype"/>
    <w:uiPriority w:val="99"/>
    <w:unhideWhenUsed/>
    <w:rsid w:val="00EE7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vzw.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c-vzw.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0E02-6673-4596-8772-DA47B9DD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3128</Words>
  <Characters>17210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Bocken</dc:creator>
  <cp:keywords/>
  <dc:description/>
  <cp:lastModifiedBy>Dirk Bocken</cp:lastModifiedBy>
  <cp:revision>3</cp:revision>
  <dcterms:created xsi:type="dcterms:W3CDTF">2019-12-19T17:16:00Z</dcterms:created>
  <dcterms:modified xsi:type="dcterms:W3CDTF">2019-12-20T10:14:00Z</dcterms:modified>
</cp:coreProperties>
</file>